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A" w:rsidRPr="003B2589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6-сынып      </w:t>
      </w:r>
    </w:p>
    <w:p w:rsidR="00E6439A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2589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3B2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B2589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3B258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Жармадан</w:t>
      </w:r>
      <w:proofErr w:type="spellEnd"/>
      <w:proofErr w:type="gram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: II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тарау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>лімдерін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Білімділік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6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жарма</w:t>
      </w:r>
      <w:proofErr w:type="spellEnd"/>
      <w:proofErr w:type="gram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түрлерінен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өнімдер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даярлау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жүйелеу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білімдерін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тереңдету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Дамытушылық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қиялдай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елестете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еңбектенуге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тапсырманы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шығармашылықты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пәнге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білуге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қарым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мәдениетіне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күшіне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67D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өтілген</w:t>
      </w:r>
      <w:proofErr w:type="spellEnd"/>
      <w:proofErr w:type="gram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қайталау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жүйелендіру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сабағы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Пәнаралық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: биология, химия,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өтудің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: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6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топ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жарыс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6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тараудың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көрнекілігі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интерактивті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тақтаны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слайдтар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: I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2F567D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67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қатысымын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>.</w:t>
      </w:r>
    </w:p>
    <w:p w:rsidR="00E6439A" w:rsidRPr="000E6E88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67D">
        <w:rPr>
          <w:rFonts w:ascii="Times New Roman" w:hAnsi="Times New Roman" w:cs="Times New Roman"/>
          <w:sz w:val="28"/>
          <w:szCs w:val="28"/>
        </w:rPr>
        <w:t xml:space="preserve">ә)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дайындығын</w:t>
      </w:r>
      <w:proofErr w:type="spellEnd"/>
      <w:r w:rsidRPr="002F5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67D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Қарақұмық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 xml:space="preserve">Жарма (Крупа) —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дақыл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тұқымдастарына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арпа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тары,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жүгері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қарақұмық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дәндерін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Жарма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бұршақ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тұқымдастарының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дәндері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пайдаланылады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тағамдық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науқас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жұғымды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Жарма крахмал мен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өсімдік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белогының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жармада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мөлшерде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витаминдер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минералды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өндіруге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механикаландырылған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кәсіпорындар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дақылдарды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қоспадан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тазалап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өлшемдері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іріктеп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қабығы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қауыздарынан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арылтып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>.</w:t>
      </w:r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Сөкті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тарыны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ақтап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қауызынан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тазартып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Тазаланған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сөк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өңделген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тары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сортқа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соктің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ашқылтым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дәмі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Оны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кетіру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тарыны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қайнаған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суға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әбден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жуады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>.</w:t>
      </w:r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Қарақұмық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буланған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буланбаған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қарақұмық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дәнінен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сіңімді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белоктар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крахмал мол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Қарақұмық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белоктары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қосылыстармен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алмастыруға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болмайтын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қышқылдарына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бай.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Өндеу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мен дон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сапасына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қарақұмық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lastRenderedPageBreak/>
        <w:t>жармасы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ұнтақталмаған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пісетін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қарақұмық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Сұрыпталған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жарманы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сортқа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бөледі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сортқа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бөлінбейді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Жармадан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қоймалжың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әзірлейді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сұрыпталмаған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жарманы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кебіртек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гарнирге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турамаға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Күріштен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«Ризотто»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тағамы</w:t>
      </w:r>
      <w:proofErr w:type="spellEnd"/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тәсілдеріне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ажарланған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уатылған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түрге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машинамен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өңделген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Бұлай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өңделген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күріштің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беті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бұдыр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машинамен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өңделген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сортқа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ажыратылады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күріштің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тұтас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күрішті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машиналарда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Күрішті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тәтті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тағамдарға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гарнирғе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т. б.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самса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тағамдар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Гарнир,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палау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самса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тағамдарға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пайдаланылады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пісірілген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онша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езілмейді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күріштен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сұйық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қоймалжың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ботқасын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езбе-көже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котлет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салқын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суға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шайқау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Күріштің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езілмеу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қайнаған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суға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>.</w:t>
      </w:r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Арпа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түктелген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түктелмеген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Дәннің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ірілігіне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арпа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түрге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сіңімді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бүл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түрінен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қаймалжың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котлет, запеканка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тағамдар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әзірленеді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жарманы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көжеге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пісіреді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Түктелмеген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арпа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бітімі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ор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Бүл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жарманы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дайындағанда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түктелмейді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клетчатка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Арпаның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сортқа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бөлінбейді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ұнтақталған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дәнінің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ірілігіне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пісіреді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>.</w:t>
      </w:r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Сулы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құрамындағы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белок пен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майдың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көптігі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дақыл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тұқымдастар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дәнінен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дайындалатын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жармалар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Сұлыдан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буланған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бүтін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жаншылған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геркулес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үлпегі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талқан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көжеге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езбе-көже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Буланып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уатылмаған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түктеу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дайындалады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Жаншылған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сіңеді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>.</w:t>
      </w:r>
      <w:r w:rsidRPr="00727CCF">
        <w:t xml:space="preserve"> </w:t>
      </w:r>
      <w:r w:rsidRPr="00727CCF">
        <w:rPr>
          <w:rFonts w:ascii="Times New Roman" w:hAnsi="Times New Roman" w:cs="Times New Roman"/>
          <w:sz w:val="28"/>
          <w:szCs w:val="28"/>
        </w:rPr>
        <w:t xml:space="preserve">Геркулес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үлпегі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буланып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жаншылған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кептірілген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сортты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түгелге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жармасынан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піседі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10—15 минут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сіңімді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дәмді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ботқа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>.</w:t>
      </w:r>
    </w:p>
    <w:p w:rsidR="00E6439A" w:rsidRPr="000E6E88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Талқан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сұлы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дәнін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өндеуден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өткізіп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алынатын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нәрлі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Талқаннан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емдемдік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тағамдарын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lastRenderedPageBreak/>
        <w:t>болады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құрамында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организмге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, май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тәрізді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— лецитин </w:t>
      </w:r>
      <w:proofErr w:type="gramStart"/>
      <w:r w:rsidRPr="00727CCF">
        <w:rPr>
          <w:rFonts w:ascii="Times New Roman" w:hAnsi="Times New Roman" w:cs="Times New Roman"/>
          <w:sz w:val="28"/>
          <w:szCs w:val="28"/>
        </w:rPr>
        <w:t>бар.[</w:t>
      </w:r>
      <w:proofErr w:type="gramEnd"/>
      <w:r w:rsidRPr="00727CCF">
        <w:rPr>
          <w:rFonts w:ascii="Times New Roman" w:hAnsi="Times New Roman" w:cs="Times New Roman"/>
          <w:sz w:val="28"/>
          <w:szCs w:val="28"/>
        </w:rPr>
        <w:t>1</w:t>
      </w:r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 xml:space="preserve">Геркулес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жармасынан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727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ботқа</w:t>
      </w:r>
      <w:proofErr w:type="spellEnd"/>
    </w:p>
    <w:p w:rsidR="00E6439A" w:rsidRPr="00727CCF" w:rsidRDefault="00E6439A" w:rsidP="003F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CCF">
        <w:rPr>
          <w:rFonts w:ascii="Times New Roman" w:hAnsi="Times New Roman" w:cs="Times New Roman"/>
          <w:sz w:val="28"/>
          <w:szCs w:val="28"/>
        </w:rPr>
        <w:t xml:space="preserve">Геркулес </w:t>
      </w:r>
      <w:proofErr w:type="spellStart"/>
      <w:r w:rsidRPr="00727CCF">
        <w:rPr>
          <w:rFonts w:ascii="Times New Roman" w:hAnsi="Times New Roman" w:cs="Times New Roman"/>
          <w:sz w:val="28"/>
          <w:szCs w:val="28"/>
        </w:rPr>
        <w:t>жармас</w:t>
      </w:r>
      <w:proofErr w:type="spellEnd"/>
    </w:p>
    <w:p w:rsidR="00E6439A" w:rsidRPr="000E6E88" w:rsidRDefault="00E6439A" w:rsidP="003F7B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27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01FDC" wp14:editId="50B314E9">
            <wp:extent cx="2552700" cy="1888998"/>
            <wp:effectExtent l="0" t="0" r="0" b="0"/>
            <wp:docPr id="16" name="Рисунок 16" descr="Сурет:Oatmealraisi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урет:Oatmealraisin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38" cy="189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A">
        <w:rPr>
          <w:lang w:val="kk-KZ"/>
        </w:rPr>
        <w:t xml:space="preserve"> </w:t>
      </w:r>
      <w:r w:rsidRPr="00727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60E42" wp14:editId="11CDA4C4">
            <wp:extent cx="2095500" cy="1571625"/>
            <wp:effectExtent l="0" t="0" r="0" b="9525"/>
            <wp:docPr id="17" name="Рисунок 17" descr="http://upload.wikimedia.org/wikipedia/commons/thumb/b/bc/Ab_food_02.jpg/220px-Ab_foo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b/bc/Ab_food_02.jpg/220px-Ab_food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9A" w:rsidRPr="00C26D2A" w:rsidRDefault="00E6439A" w:rsidP="003F7B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27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69BD1" wp14:editId="5F047123">
            <wp:extent cx="2381250" cy="1847850"/>
            <wp:effectExtent l="0" t="0" r="0" b="0"/>
            <wp:docPr id="18" name="Рисунок 18" descr="http://upload.wikimedia.org/wikipedia/commons/thumb/f/ff/Steinpilzrisotto.jpg/250px-Steinpilzris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thumb/f/ff/Steinpilzrisotto.jpg/250px-Steinpilzrisot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D2A">
        <w:rPr>
          <w:lang w:val="kk-KZ"/>
        </w:rPr>
        <w:t xml:space="preserve"> </w:t>
      </w:r>
      <w:r w:rsidRPr="00727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5237E" wp14:editId="50DF7DC7">
            <wp:extent cx="2381250" cy="2305050"/>
            <wp:effectExtent l="0" t="0" r="0" b="0"/>
            <wp:docPr id="19" name="Рисунок 19" descr="http://upload.wikimedia.org/wikipedia/commons/thumb/3/39/Oatmeal.jpg/250px-Oatm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thumb/3/39/Oatmeal.jpg/250px-Oatm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BF" w:rsidRDefault="00D907BF" w:rsidP="003F7B7E">
      <w:pPr>
        <w:spacing w:after="0"/>
      </w:pPr>
      <w:bookmarkStart w:id="0" w:name="_GoBack"/>
      <w:bookmarkEnd w:id="0"/>
    </w:p>
    <w:sectPr w:rsidR="00D9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01"/>
    <w:rsid w:val="003F7B7E"/>
    <w:rsid w:val="00D907BF"/>
    <w:rsid w:val="00E6439A"/>
    <w:rsid w:val="00E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1EA2-54DA-464F-837C-205D768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2017-12-21T10:21:00Z</dcterms:created>
  <dcterms:modified xsi:type="dcterms:W3CDTF">2017-12-21T11:11:00Z</dcterms:modified>
</cp:coreProperties>
</file>