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>DIE DRESDNER GEMÄLDEGALERIE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    Die Dresdner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berühmtesten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Kunstsammlungender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Welt. 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Hauptteil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Sammlung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bildeten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italienische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1745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dazu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Hundert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besten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angekauft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später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Neubau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Zwinger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errichtet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,der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seinem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Architekten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Gottfried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Semper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Semperbau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Dresdner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Bau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weltbekannten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Semperoper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man das Museum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betritt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b/>
          <w:bCs/>
          <w:sz w:val="28"/>
          <w:szCs w:val="28"/>
          <w:lang w:val="en-US"/>
        </w:rPr>
        <w:t>gelangt</w:t>
      </w:r>
      <w:proofErr w:type="spellEnd"/>
      <w:r w:rsidRPr="00120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man in den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Gobelinsaal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Raum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hängen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Bildteppiche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dienten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Bekleidung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Wandflächen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Dresdner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Bildteppiche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b/>
          <w:bCs/>
          <w:sz w:val="28"/>
          <w:szCs w:val="28"/>
          <w:lang w:val="en-US"/>
        </w:rPr>
        <w:t>genaue</w:t>
      </w:r>
      <w:proofErr w:type="spellEnd"/>
      <w:r w:rsidRPr="00120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Wiederholung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Originalteppichen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Raffael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Sixtinische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Kapelle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Vatikan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anfertigte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Darauf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Szenen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Apostel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Petrus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Paulus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dargestellt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     Das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berühmteste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Sempergalerie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„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Sixtinische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Madonna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“ von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Raffael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Raffaello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Santi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), die 1512 — 1513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Altarbild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gemalt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1754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kaufte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König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August III.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dieses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20 000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Dukaten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Meisterwerke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weltbekannten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Maler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Tizian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Rembrandt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Lucas Cranach,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Albrecht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Dürer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Canaletto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Bartholome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Murillo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lies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muríljo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Claude Lorrain 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lies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klot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loré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gramStart"/>
      <w:r w:rsidRPr="00120EB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Rubens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A5A" w:rsidRPr="001D7A5A" w:rsidRDefault="001D7A5A" w:rsidP="001D7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</w:pP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Nummeriert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bitte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, die </w:t>
      </w: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Sἅtze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nach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dem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Inhalt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 xml:space="preserve">. 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_____ In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Meisterwerke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weltbekannten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Maler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Tizian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Rembrandt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Lucas Cranach,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Albrecht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Dürer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Canaletto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Bartholome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Murillo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lies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muríljo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Claude Lorrain 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lies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klot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loré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gramStart"/>
      <w:r w:rsidRPr="00120EB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Rubens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D7A5A" w:rsidRPr="00120EBE" w:rsidRDefault="001D7A5A" w:rsidP="001D7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man das Museum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betritt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b/>
          <w:bCs/>
          <w:sz w:val="28"/>
          <w:szCs w:val="28"/>
          <w:lang w:val="en-US"/>
        </w:rPr>
        <w:t>gelangt</w:t>
      </w:r>
      <w:proofErr w:type="spellEnd"/>
      <w:r w:rsidRPr="00120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man in den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Gobelinsaal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Raum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hängen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sechs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Bildteppiche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dienten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Bekleidung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Wandflächen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D7A5A" w:rsidRPr="00120EBE" w:rsidRDefault="001D7A5A" w:rsidP="001D7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_____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Etwa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Jahrhundert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später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Neubau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Zwinger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errichtet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,der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seinem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Architekten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Gottfried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Semper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Semperbau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Dresdner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Bau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neben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weltbekannten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Semperoper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steht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______Die Dresdner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Bildteppiche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b/>
          <w:bCs/>
          <w:sz w:val="28"/>
          <w:szCs w:val="28"/>
          <w:lang w:val="en-US"/>
        </w:rPr>
        <w:t>genaue</w:t>
      </w:r>
      <w:proofErr w:type="spellEnd"/>
      <w:r w:rsidRPr="00120EB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Wiederholung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Originalteppichen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Raffael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Sixtinische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Kapelle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Vatikan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anfertigte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Darauf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Szenen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Apostel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Petrus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Paulus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dargestellt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7A5A" w:rsidRPr="00120EBE" w:rsidRDefault="001D7A5A" w:rsidP="001D7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_____ Das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berühmteste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Sempergalerie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„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Sixtinische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Madonna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“ von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Raffael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EB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Raffaello</w:t>
      </w:r>
      <w:proofErr w:type="spellEnd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i/>
          <w:iCs/>
          <w:sz w:val="28"/>
          <w:szCs w:val="28"/>
          <w:lang w:val="en-US"/>
        </w:rPr>
        <w:t>Santi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), die 1512 — 1513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Altarbild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gemalt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1754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kaufte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König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August III.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dieses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20 000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Dukaten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20EBE" w:rsidRDefault="001D7A5A" w:rsidP="001D7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_____     Die Dresdner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berühmtesten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Kunstsammlungender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Welt. 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Hauptteil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Sammlung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bildeten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italienische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Jahre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1745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dazu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Hundert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besten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angekauft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5A" w:rsidRPr="00120EBE" w:rsidRDefault="001D7A5A" w:rsidP="001D7A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     +</w:t>
      </w:r>
    </w:p>
    <w:p w:rsidR="001D7A5A" w:rsidRPr="001D7A5A" w:rsidRDefault="001D7A5A" w:rsidP="001D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>Falsch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>oder</w:t>
      </w:r>
      <w:proofErr w:type="spellEnd"/>
      <w:proofErr w:type="gramEnd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>richtig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>?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5A" w:rsidRPr="00120EBE" w:rsidRDefault="001D7A5A" w:rsidP="001D7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1. __________Die Dresdner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berühmtesten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Sammlungen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Welt.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>2. __________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Neubau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Sammlung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König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genannt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>3. __________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Gobelinsaal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hängen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sieben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Bildteppiche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Pariser</w:t>
      </w:r>
      <w:proofErr w:type="spellEnd"/>
    </w:p>
    <w:p w:rsidR="001D7A5A" w:rsidRPr="00120EBE" w:rsidRDefault="001D7A5A" w:rsidP="001D7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Färberfamilie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Gobelin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Gobelinteppiche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bezeichnet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4. __________Die Dresdner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Bildteppiche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genaue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Wiederholung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Originalteppichen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Raffael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Sixtinische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Kapelle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Vatikan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anfertigte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5. __________Die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italienischen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hängen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grünem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Grund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holländische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flämische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Gemälde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auf Rot.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6. __________Das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berühmteste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Bild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Sempergalerie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die „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Sixtinische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Madonna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“ von</w:t>
      </w:r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Raffael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A5A" w:rsidRPr="001D7A5A" w:rsidRDefault="001D7A5A" w:rsidP="001D7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>Bildet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die </w:t>
      </w: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>Fragen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>einander</w:t>
      </w:r>
      <w:proofErr w:type="spellEnd"/>
      <w:r w:rsidRPr="001D7A5A">
        <w:rPr>
          <w:rFonts w:ascii="Times New Roman" w:hAnsi="Times New Roman" w:cs="Times New Roman"/>
          <w:color w:val="FF0000"/>
          <w:sz w:val="28"/>
          <w:szCs w:val="28"/>
          <w:lang w:val="en-US"/>
        </w:rPr>
        <w:t>!</w:t>
      </w:r>
    </w:p>
    <w:p w:rsidR="001D7A5A" w:rsidRPr="001D7A5A" w:rsidRDefault="001D7A5A" w:rsidP="001D7A5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</w:pPr>
      <w:proofErr w:type="spellStart"/>
      <w:proofErr w:type="gramStart"/>
      <w:r w:rsidRPr="001D7A5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Äussert</w:t>
      </w:r>
      <w:proofErr w:type="spellEnd"/>
      <w:r w:rsidRPr="001D7A5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 xml:space="preserve">  </w:t>
      </w:r>
      <w:proofErr w:type="spellStart"/>
      <w:r w:rsidRPr="001D7A5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Meinung</w:t>
      </w:r>
      <w:proofErr w:type="spellEnd"/>
      <w:proofErr w:type="gramEnd"/>
      <w:r w:rsidRPr="001D7A5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 xml:space="preserve">! </w:t>
      </w:r>
      <w:proofErr w:type="spellStart"/>
      <w:r w:rsidRPr="001D7A5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Gebraucht</w:t>
      </w:r>
      <w:proofErr w:type="spellEnd"/>
      <w:r w:rsidRPr="001D7A5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1D7A5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en-US"/>
        </w:rPr>
        <w:t>dazu</w:t>
      </w:r>
      <w:proofErr w:type="spellEnd"/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erfahren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gelesen</w:t>
      </w:r>
      <w:proofErr w:type="gramStart"/>
      <w:r w:rsidRPr="00120EBE">
        <w:rPr>
          <w:rFonts w:ascii="Times New Roman" w:hAnsi="Times New Roman" w:cs="Times New Roman"/>
          <w:sz w:val="28"/>
          <w:szCs w:val="28"/>
          <w:lang w:val="en-US"/>
        </w:rPr>
        <w:t>,dass</w:t>
      </w:r>
      <w:proofErr w:type="spellEnd"/>
      <w:proofErr w:type="gramEnd"/>
      <w:r w:rsidRPr="00120EBE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weiss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ϋberzeugt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20EBE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120EBE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D7A5A" w:rsidRPr="00120EBE" w:rsidRDefault="001D7A5A" w:rsidP="001D7A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5849" w:rsidRPr="001D7A5A" w:rsidRDefault="009C5849">
      <w:pPr>
        <w:rPr>
          <w:lang w:val="en-US"/>
        </w:rPr>
      </w:pPr>
    </w:p>
    <w:sectPr w:rsidR="009C5849" w:rsidRPr="001D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4DDB"/>
    <w:multiLevelType w:val="hybridMultilevel"/>
    <w:tmpl w:val="986002E0"/>
    <w:lvl w:ilvl="0" w:tplc="A216C07A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A5A"/>
    <w:rsid w:val="001D7A5A"/>
    <w:rsid w:val="009C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2017-11-04T18:12:00Z</dcterms:created>
  <dcterms:modified xsi:type="dcterms:W3CDTF">2017-11-04T18:14:00Z</dcterms:modified>
</cp:coreProperties>
</file>