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75" w:rsidRPr="00D37BFB" w:rsidRDefault="00763F75" w:rsidP="00763F7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</w:pPr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>Тест-разминка</w:t>
      </w:r>
    </w:p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 xml:space="preserve">Учебный </w:t>
      </w:r>
      <w:proofErr w:type="gramStart"/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>предмет</w:t>
      </w:r>
      <w:r w:rsidR="007853A1"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 xml:space="preserve"> </w:t>
      </w:r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>:</w:t>
      </w:r>
      <w:proofErr w:type="gramEnd"/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 xml:space="preserve">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информатика</w:t>
      </w:r>
    </w:p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>Раздел: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 </w:t>
      </w:r>
      <w:bookmarkStart w:id="0" w:name="_GoBack"/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«</w:t>
      </w:r>
      <w:r w:rsidR="00E128A2" w:rsidRPr="00E128A2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Информационные технологии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»</w:t>
      </w:r>
    </w:p>
    <w:bookmarkEnd w:id="0"/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D37BFB">
        <w:rPr>
          <w:rFonts w:ascii="Arial Black" w:eastAsia="Times New Roman" w:hAnsi="Arial Black" w:cs="Times New Roman"/>
          <w:i/>
          <w:color w:val="0070C0"/>
          <w:sz w:val="28"/>
          <w:szCs w:val="28"/>
          <w:lang w:eastAsia="ru-RU"/>
        </w:rPr>
        <w:t xml:space="preserve">Категория участников: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учащиеся </w:t>
      </w:r>
      <w:r w:rsidR="00D37BFB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9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класса</w:t>
      </w:r>
    </w:p>
    <w:p w:rsidR="00D37BFB" w:rsidRDefault="00D37BFB" w:rsidP="00D3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Данные об объектах, событиях и процессах, это</w:t>
      </w: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1 содержимое баз знаний;</w:t>
      </w: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2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необработанные сообщения, отражающие отдельные факты, процессы, события;</w:t>
      </w: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3 предварительно обработанная информация;</w:t>
      </w:r>
    </w:p>
    <w:p w:rsidR="00D37BFB" w:rsidRPr="00E128A2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4 сообщения, находящиеся в хранилищах данных.</w:t>
      </w: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Информация это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1 сообщения, находящиеся в памяти компьютера;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2 сообщения, находящиеся в хранилищах данных;</w:t>
      </w:r>
    </w:p>
    <w:p w:rsidR="00D37BFB" w:rsidRPr="00E128A2" w:rsidRDefault="00D37BFB" w:rsidP="00E128A2">
      <w:pPr>
        <w:spacing w:after="0" w:line="240" w:lineRule="auto"/>
        <w:ind w:left="284" w:hanging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3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предварительно обработанные данные, годные для принятия управленческих решений;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4 сообщения, зафиксированные на машинных носителях</w:t>
      </w: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Цель информатизации общества заключается в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1 справедливом распределении материальных благ;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2 удовлетворении духовных потребностей человека;</w:t>
      </w:r>
    </w:p>
    <w:p w:rsidR="00D37BFB" w:rsidRDefault="00D37BFB" w:rsidP="00E128A2">
      <w:pPr>
        <w:spacing w:after="0" w:line="240" w:lineRule="auto"/>
        <w:ind w:left="284" w:hanging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3 максимальном удовлетворении информационных потребностей отдельных граждан, их групп, предприятий, организаций и т. д. за счет повсеместного внедрения компьютеров и средств коммуникаций.</w:t>
      </w:r>
    </w:p>
    <w:p w:rsidR="00E128A2" w:rsidRPr="00E128A2" w:rsidRDefault="00E128A2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Системный анализ предполагает: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1 описание объекта с помощью </w:t>
      </w:r>
      <w:r w:rsid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информационной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модели;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2 описание объекта с помощью </w:t>
      </w:r>
      <w:r w:rsid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имитационной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модели;</w:t>
      </w:r>
    </w:p>
    <w:p w:rsidR="00D37BFB" w:rsidRPr="00E128A2" w:rsidRDefault="00D37BFB" w:rsidP="00E128A2">
      <w:pPr>
        <w:spacing w:after="0" w:line="240" w:lineRule="auto"/>
        <w:ind w:left="284" w:hanging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3 рассмотрение объекта как целого, состоящего из частей и</w:t>
      </w:r>
      <w:r w:rsid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выделенного из окружающей среды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E128A2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</w:t>
      </w:r>
      <w:r w:rsidRPr="00E128A2">
        <w:rPr>
          <w:rFonts w:ascii="Bookman Old Style" w:hAnsi="Bookman Old Style"/>
          <w:sz w:val="24"/>
          <w:szCs w:val="24"/>
        </w:rPr>
        <w:t xml:space="preserve">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равильное определение системы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Система – это множество объектов</w:t>
      </w:r>
      <w:r w:rsid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процессов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2.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 Система - это множество взаимосвязанных элементов или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подсистем, которые сообща функционируют для достижения общей цели.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Система – это не связанные между собой элементы.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Открытая информационная система это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Система, включающая в себя большое количество программных продуктов.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Система, включающая в себя различные информационные сети.</w:t>
      </w:r>
    </w:p>
    <w:p w:rsidR="00D37BFB" w:rsidRPr="00E128A2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3.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Система, созданная на основе международных стандартов.</w:t>
      </w:r>
    </w:p>
    <w:p w:rsidR="00D37BFB" w:rsidRDefault="00D37BFB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Система, ориентированная на оперативную обработку данных.</w:t>
      </w:r>
    </w:p>
    <w:p w:rsidR="00E128A2" w:rsidRPr="00E128A2" w:rsidRDefault="00E128A2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128A2" w:rsidRPr="00E128A2" w:rsidRDefault="00E128A2" w:rsidP="00E128A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Информационная технология это</w:t>
      </w:r>
    </w:p>
    <w:p w:rsidR="00E128A2" w:rsidRPr="00E128A2" w:rsidRDefault="00E128A2" w:rsidP="00E128A2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567" w:hanging="425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Совокупность технических средств и программных </w:t>
      </w:r>
      <w:proofErr w:type="gramStart"/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средств .</w:t>
      </w:r>
      <w:proofErr w:type="gramEnd"/>
    </w:p>
    <w:p w:rsidR="00E128A2" w:rsidRPr="00E128A2" w:rsidRDefault="00E128A2" w:rsidP="00E128A2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567" w:hanging="425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Совокупность организационных средств. </w:t>
      </w:r>
    </w:p>
    <w:p w:rsidR="00E128A2" w:rsidRPr="00E128A2" w:rsidRDefault="00E128A2" w:rsidP="00E128A2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567" w:hanging="425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Множество информационных ресурсов. </w:t>
      </w:r>
    </w:p>
    <w:p w:rsidR="00E128A2" w:rsidRPr="00E128A2" w:rsidRDefault="00E128A2" w:rsidP="00E128A2">
      <w:pPr>
        <w:numPr>
          <w:ilvl w:val="0"/>
          <w:numId w:val="36"/>
        </w:numPr>
        <w:tabs>
          <w:tab w:val="clear" w:pos="720"/>
        </w:tabs>
        <w:ind w:left="567" w:hanging="425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Совокупность операций по сбору, обработке, передачи и хранению данных с использованием методов и средств автоматизации. </w:t>
      </w:r>
    </w:p>
    <w:p w:rsidR="00D37BFB" w:rsidRPr="00E128A2" w:rsidRDefault="00D37BFB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E128A2" w:rsidRDefault="00E128A2" w:rsidP="00D37BFB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="00D37BFB"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D37BFB" w:rsidRPr="00E128A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D37BFB"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тандартные процессы жизненного цикла информационной системы, используемые в процессе ее создания и функционирования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-это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Основные процессы производства.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.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   Основные процессы жизненного цикла.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3.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 xml:space="preserve">    Вспомогательные процессы жизненного цикла.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Процессы планирования</w:t>
      </w:r>
    </w:p>
    <w:p w:rsidR="00D37BFB" w:rsidRPr="00E128A2" w:rsidRDefault="00D37BFB" w:rsidP="00E128A2">
      <w:pPr>
        <w:spacing w:after="0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Pr="00E128A2"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  <w:t>Организационные процессы жизненного цикла.</w:t>
      </w:r>
    </w:p>
    <w:p w:rsidR="00E128A2" w:rsidRPr="00E128A2" w:rsidRDefault="00E128A2" w:rsidP="00E128A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E128A2" w:rsidRDefault="00D37BFB" w:rsidP="00E128A2">
      <w:pPr>
        <w:ind w:left="360" w:hanging="21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9. Информационные технологии, которые можно отнести к базовым: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Текстовые процессоры. 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Табличные процессоры. 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Системы управления базами данных. 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Управляющие программные комплексы. 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Мультимедиа и </w:t>
      </w:r>
      <w:proofErr w:type="spellStart"/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>Web</w:t>
      </w:r>
      <w:proofErr w:type="spellEnd"/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-технологии. </w:t>
      </w:r>
    </w:p>
    <w:p w:rsidR="00D37BFB" w:rsidRPr="00E128A2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Системы формирования решений. </w:t>
      </w:r>
    </w:p>
    <w:p w:rsidR="00D37BFB" w:rsidRDefault="00D37BFB" w:rsidP="00E128A2">
      <w:pPr>
        <w:numPr>
          <w:ilvl w:val="0"/>
          <w:numId w:val="37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>Графические процессоры</w:t>
      </w:r>
    </w:p>
    <w:p w:rsidR="00E128A2" w:rsidRPr="00E128A2" w:rsidRDefault="00E128A2" w:rsidP="00E128A2">
      <w:pPr>
        <w:spacing w:after="0" w:line="240" w:lineRule="auto"/>
        <w:ind w:left="360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</w:p>
    <w:p w:rsidR="00D37BFB" w:rsidRPr="00E128A2" w:rsidRDefault="00D37BFB" w:rsidP="00E128A2">
      <w:pPr>
        <w:ind w:left="360" w:hanging="21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10. Главная особенность баз данных</w:t>
      </w:r>
    </w:p>
    <w:p w:rsidR="00D37BFB" w:rsidRPr="00E128A2" w:rsidRDefault="00D37BFB" w:rsidP="00E128A2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Ориентация на передачу данных. </w:t>
      </w:r>
    </w:p>
    <w:p w:rsidR="00D37BFB" w:rsidRPr="00E128A2" w:rsidRDefault="00D37BFB" w:rsidP="00E128A2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ru-RU"/>
        </w:rPr>
        <w:t xml:space="preserve">Ориентация на оперативную обработку данных и работу с конечным пользователем. </w:t>
      </w:r>
    </w:p>
    <w:p w:rsidR="00D37BFB" w:rsidRPr="00E128A2" w:rsidRDefault="00D37BFB" w:rsidP="00E128A2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Ориентация на интеллектуальную </w:t>
      </w:r>
      <w:r w:rsid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аналитическую </w:t>
      </w:r>
      <w:r w:rsidRPr="00E128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обработку данных. </w:t>
      </w:r>
    </w:p>
    <w:p w:rsidR="00D37BFB" w:rsidRPr="00D37BFB" w:rsidRDefault="00D37BFB" w:rsidP="00D37BF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F75" w:rsidRPr="00D37BFB" w:rsidRDefault="00763F75" w:rsidP="00D37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F75" w:rsidRPr="00D37BFB" w:rsidSect="00E128A2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718"/>
    <w:multiLevelType w:val="multilevel"/>
    <w:tmpl w:val="A142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83D5F"/>
    <w:multiLevelType w:val="multilevel"/>
    <w:tmpl w:val="46D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25073"/>
    <w:multiLevelType w:val="multilevel"/>
    <w:tmpl w:val="232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56196"/>
    <w:multiLevelType w:val="multilevel"/>
    <w:tmpl w:val="F772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D2302"/>
    <w:multiLevelType w:val="multilevel"/>
    <w:tmpl w:val="927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F41A8"/>
    <w:multiLevelType w:val="multilevel"/>
    <w:tmpl w:val="0B2E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D611A"/>
    <w:multiLevelType w:val="multilevel"/>
    <w:tmpl w:val="CED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37CEC"/>
    <w:multiLevelType w:val="multilevel"/>
    <w:tmpl w:val="986CE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991672B"/>
    <w:multiLevelType w:val="multilevel"/>
    <w:tmpl w:val="326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E12D7"/>
    <w:multiLevelType w:val="multilevel"/>
    <w:tmpl w:val="CFE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01FC5"/>
    <w:multiLevelType w:val="multilevel"/>
    <w:tmpl w:val="1492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878F2"/>
    <w:multiLevelType w:val="multilevel"/>
    <w:tmpl w:val="641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54D"/>
    <w:multiLevelType w:val="multilevel"/>
    <w:tmpl w:val="ACF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7291B"/>
    <w:multiLevelType w:val="multilevel"/>
    <w:tmpl w:val="3138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2485A"/>
    <w:multiLevelType w:val="multilevel"/>
    <w:tmpl w:val="DC4A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EF8"/>
    <w:multiLevelType w:val="multilevel"/>
    <w:tmpl w:val="E99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F1947"/>
    <w:multiLevelType w:val="multilevel"/>
    <w:tmpl w:val="C65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05087"/>
    <w:multiLevelType w:val="multilevel"/>
    <w:tmpl w:val="0D3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7617"/>
    <w:multiLevelType w:val="multilevel"/>
    <w:tmpl w:val="656A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16B62"/>
    <w:multiLevelType w:val="multilevel"/>
    <w:tmpl w:val="9EA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82ACB"/>
    <w:multiLevelType w:val="multilevel"/>
    <w:tmpl w:val="DE0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112D3"/>
    <w:multiLevelType w:val="multilevel"/>
    <w:tmpl w:val="A63E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741B1"/>
    <w:multiLevelType w:val="multilevel"/>
    <w:tmpl w:val="B03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1137C"/>
    <w:multiLevelType w:val="multilevel"/>
    <w:tmpl w:val="6F6A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06BA9"/>
    <w:multiLevelType w:val="multilevel"/>
    <w:tmpl w:val="F63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831BF"/>
    <w:multiLevelType w:val="multilevel"/>
    <w:tmpl w:val="6354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FA30C6"/>
    <w:multiLevelType w:val="multilevel"/>
    <w:tmpl w:val="ACA2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96F43"/>
    <w:multiLevelType w:val="multilevel"/>
    <w:tmpl w:val="3BCE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912C2"/>
    <w:multiLevelType w:val="multilevel"/>
    <w:tmpl w:val="ABF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9675D"/>
    <w:multiLevelType w:val="multilevel"/>
    <w:tmpl w:val="3D8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4044B"/>
    <w:multiLevelType w:val="multilevel"/>
    <w:tmpl w:val="B27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C07F4"/>
    <w:multiLevelType w:val="multilevel"/>
    <w:tmpl w:val="7AA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0173C"/>
    <w:multiLevelType w:val="multilevel"/>
    <w:tmpl w:val="356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83DBC"/>
    <w:multiLevelType w:val="multilevel"/>
    <w:tmpl w:val="427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87AE6"/>
    <w:multiLevelType w:val="multilevel"/>
    <w:tmpl w:val="16D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22BB6"/>
    <w:multiLevelType w:val="multilevel"/>
    <w:tmpl w:val="5FD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54AF6"/>
    <w:multiLevelType w:val="multilevel"/>
    <w:tmpl w:val="EE3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E50B0"/>
    <w:multiLevelType w:val="multilevel"/>
    <w:tmpl w:val="676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0"/>
  </w:num>
  <w:num w:numId="8">
    <w:abstractNumId w:val="31"/>
  </w:num>
  <w:num w:numId="9">
    <w:abstractNumId w:val="32"/>
  </w:num>
  <w:num w:numId="10">
    <w:abstractNumId w:val="19"/>
  </w:num>
  <w:num w:numId="11">
    <w:abstractNumId w:val="36"/>
  </w:num>
  <w:num w:numId="12">
    <w:abstractNumId w:val="23"/>
  </w:num>
  <w:num w:numId="13">
    <w:abstractNumId w:val="12"/>
  </w:num>
  <w:num w:numId="14">
    <w:abstractNumId w:val="17"/>
  </w:num>
  <w:num w:numId="15">
    <w:abstractNumId w:val="6"/>
  </w:num>
  <w:num w:numId="16">
    <w:abstractNumId w:val="30"/>
  </w:num>
  <w:num w:numId="17">
    <w:abstractNumId w:val="15"/>
  </w:num>
  <w:num w:numId="18">
    <w:abstractNumId w:val="5"/>
  </w:num>
  <w:num w:numId="19">
    <w:abstractNumId w:val="26"/>
  </w:num>
  <w:num w:numId="20">
    <w:abstractNumId w:val="34"/>
  </w:num>
  <w:num w:numId="21">
    <w:abstractNumId w:val="14"/>
  </w:num>
  <w:num w:numId="22">
    <w:abstractNumId w:val="37"/>
  </w:num>
  <w:num w:numId="23">
    <w:abstractNumId w:val="33"/>
  </w:num>
  <w:num w:numId="24">
    <w:abstractNumId w:val="10"/>
  </w:num>
  <w:num w:numId="25">
    <w:abstractNumId w:val="16"/>
  </w:num>
  <w:num w:numId="26">
    <w:abstractNumId w:val="22"/>
  </w:num>
  <w:num w:numId="27">
    <w:abstractNumId w:val="35"/>
  </w:num>
  <w:num w:numId="28">
    <w:abstractNumId w:val="11"/>
  </w:num>
  <w:num w:numId="29">
    <w:abstractNumId w:val="27"/>
  </w:num>
  <w:num w:numId="30">
    <w:abstractNumId w:val="13"/>
  </w:num>
  <w:num w:numId="31">
    <w:abstractNumId w:val="28"/>
  </w:num>
  <w:num w:numId="32">
    <w:abstractNumId w:val="29"/>
  </w:num>
  <w:num w:numId="33">
    <w:abstractNumId w:val="2"/>
  </w:num>
  <w:num w:numId="34">
    <w:abstractNumId w:val="21"/>
  </w:num>
  <w:num w:numId="35">
    <w:abstractNumId w:val="8"/>
  </w:num>
  <w:num w:numId="36">
    <w:abstractNumId w:val="2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0"/>
    <w:rsid w:val="004C74D4"/>
    <w:rsid w:val="00625138"/>
    <w:rsid w:val="006D1C40"/>
    <w:rsid w:val="00763F75"/>
    <w:rsid w:val="007853A1"/>
    <w:rsid w:val="00D37BFB"/>
    <w:rsid w:val="00E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D4B6-8B59-4529-8439-D081020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УСОШ №4</dc:creator>
  <cp:keywords/>
  <dc:description/>
  <cp:lastModifiedBy>МБОУ УСОШ №4</cp:lastModifiedBy>
  <cp:revision>2</cp:revision>
  <dcterms:created xsi:type="dcterms:W3CDTF">2021-05-27T09:41:00Z</dcterms:created>
  <dcterms:modified xsi:type="dcterms:W3CDTF">2021-05-27T09:41:00Z</dcterms:modified>
</cp:coreProperties>
</file>