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851" w:firstLine="709"/>
        <w:rPr>
          <w:b/>
          <w:u w:val="single"/>
        </w:rPr>
      </w:pPr>
      <w:r>
        <w:rPr>
          <w:b/>
          <w:u w:val="single"/>
        </w:rPr>
        <w:t xml:space="preserve">Методическая разработка для урока музыки в 6 классе.</w:t>
      </w:r>
      <w:r/>
    </w:p>
    <w:p>
      <w:pPr>
        <w:ind w:left="-851" w:firstLine="709"/>
      </w:pPr>
      <w:r>
        <w:rPr>
          <w:b/>
        </w:rPr>
        <w:t xml:space="preserve">Тема</w:t>
      </w:r>
      <w:r>
        <w:t xml:space="preserve">: «Влияние музыки на воду»</w:t>
      </w:r>
      <w:r/>
    </w:p>
    <w:p>
      <w:pPr>
        <w:ind w:left="-851" w:firstLine="709"/>
      </w:pPr>
      <w:r>
        <w:rPr>
          <w:b/>
        </w:rPr>
        <w:t xml:space="preserve">Цель работы</w:t>
      </w:r>
      <w:r>
        <w:t xml:space="preserve">: опытным путем выявить влияние классической и рок музыки на воду.</w:t>
      </w:r>
      <w:r/>
    </w:p>
    <w:p>
      <w:pPr>
        <w:ind w:left="-851" w:firstLine="709"/>
      </w:pPr>
      <w:r>
        <w:rPr>
          <w:b/>
        </w:rPr>
        <w:t xml:space="preserve">Задачи</w:t>
      </w:r>
      <w:r>
        <w:t xml:space="preserve">: </w:t>
      </w:r>
      <w:r>
        <w:t xml:space="preserve">формирование у учащихся осознанного восприятия музыки, умения анализировать музыку; развитие </w:t>
      </w:r>
      <w:r>
        <w:t xml:space="preserve">слушательской</w:t>
      </w:r>
      <w:r>
        <w:t xml:space="preserve"> культуры учащихся. </w:t>
      </w:r>
      <w:r/>
    </w:p>
    <w:p>
      <w:pPr>
        <w:ind w:left="-851" w:firstLine="709"/>
        <w:rPr>
          <w:u w:val="single"/>
        </w:rPr>
      </w:pPr>
      <w:r>
        <w:rPr>
          <w:u w:val="single"/>
        </w:rPr>
        <w:t xml:space="preserve">План мероприятия.</w:t>
      </w:r>
      <w:r/>
    </w:p>
    <w:p>
      <w:pPr>
        <w:ind w:left="-851" w:firstLine="709"/>
      </w:pPr>
      <w:r>
        <w:t xml:space="preserve">Ученикам предлагается при помощи простого опыта увидеть своими глазами как музыка влияет на окружающий мир. </w:t>
      </w:r>
      <w:r/>
    </w:p>
    <w:p>
      <w:pPr>
        <w:ind w:left="-851" w:firstLine="709"/>
        <w:rPr>
          <w:u w:val="single"/>
        </w:rPr>
      </w:pPr>
      <w:r>
        <w:rPr>
          <w:u w:val="single"/>
        </w:rPr>
        <w:t xml:space="preserve">Ход опыта.</w:t>
      </w:r>
      <w:r/>
    </w:p>
    <w:p>
      <w:pPr>
        <w:ind w:left="-851" w:firstLine="709"/>
        <w:rPr>
          <w:b/>
        </w:rPr>
      </w:pPr>
      <w:r>
        <w:rPr>
          <w:b/>
        </w:rPr>
        <w:t xml:space="preserve">1 день. </w:t>
      </w:r>
      <w:r/>
    </w:p>
    <w:p>
      <w:pPr>
        <w:ind w:left="-851" w:firstLine="709"/>
      </w:pPr>
      <w:r>
        <w:t xml:space="preserve">В пластиковый </w:t>
      </w:r>
      <w:r>
        <w:t xml:space="preserve">стакан наливаем обычную воду. Рядом с ним ставим любой источник </w:t>
      </w:r>
      <w:r>
        <w:t xml:space="preserve">звука(</w:t>
      </w:r>
      <w:r>
        <w:t xml:space="preserve">телефон, колонка, телевизор и т.п.). В течение 15 минут вода «прослушивает» 1 часть Симфонии №40 </w:t>
      </w:r>
      <w:r>
        <w:t xml:space="preserve">В.А.Моцарта</w:t>
      </w:r>
      <w:r>
        <w:t xml:space="preserve">. После завершения прослушивания стакан отправляется в </w:t>
      </w:r>
      <w:r>
        <w:t xml:space="preserve">заморозку(</w:t>
      </w:r>
      <w:r>
        <w:t xml:space="preserve">6-8 часов).</w:t>
      </w:r>
      <w:r/>
    </w:p>
    <w:p>
      <w:pPr>
        <w:ind w:left="-851" w:firstLine="709"/>
      </w:pPr>
      <w:r>
        <w:t xml:space="preserve">Второй стакан отправляем в заморозку без </w:t>
      </w:r>
      <w:r>
        <w:t xml:space="preserve">какого либо</w:t>
      </w:r>
      <w:r>
        <w:t xml:space="preserve"> прослушивания.</w:t>
      </w:r>
      <w:r/>
    </w:p>
    <w:p>
      <w:pPr>
        <w:ind w:left="-851" w:firstLine="709"/>
        <w:rPr>
          <w:b/>
        </w:rPr>
      </w:pPr>
      <w:r>
        <w:rPr>
          <w:b/>
        </w:rPr>
        <w:t xml:space="preserve">2 день. </w:t>
      </w:r>
      <w:r/>
    </w:p>
    <w:p>
      <w:pPr>
        <w:ind w:left="-851" w:firstLine="709"/>
      </w:pPr>
      <w:r>
        <w:t xml:space="preserve">После заморозки достаем стакан</w:t>
      </w:r>
      <w:r>
        <w:t xml:space="preserve">ы</w:t>
      </w:r>
      <w:r>
        <w:t xml:space="preserve">, осматриваем лёд. Вносим в </w:t>
      </w:r>
      <w:r>
        <w:t xml:space="preserve">таблицу(</w:t>
      </w:r>
      <w:r>
        <w:t xml:space="preserve">Приложение 1) данные, т.е. описание: сколы, трещины, пузыри</w:t>
      </w:r>
      <w:r>
        <w:t xml:space="preserve">, помутнение, волны и др. Лед утилизируем.</w:t>
      </w:r>
      <w:r/>
    </w:p>
    <w:p>
      <w:pPr>
        <w:ind w:left="-851" w:firstLine="709"/>
      </w:pPr>
      <w:r>
        <w:t xml:space="preserve">Берем третий стакан, наливаем в него воду, проделываем с ним всё тоже самое что и с первым, но «слушать» вода уже будет композицию «</w:t>
      </w:r>
      <w:r>
        <w:rPr>
          <w:lang w:val="en-US"/>
        </w:rPr>
        <w:t xml:space="preserve">Du</w:t>
      </w:r>
      <w:r>
        <w:t xml:space="preserve"> </w:t>
      </w:r>
      <w:r>
        <w:rPr>
          <w:lang w:val="en-US"/>
        </w:rPr>
        <w:t xml:space="preserve">hast</w:t>
      </w:r>
      <w:r>
        <w:t xml:space="preserve">»</w:t>
      </w:r>
      <w:r>
        <w:t xml:space="preserve"> </w:t>
      </w:r>
      <w:r>
        <w:t xml:space="preserve">немецкой группы </w:t>
      </w:r>
      <w:r>
        <w:rPr>
          <w:lang w:val="en-US"/>
        </w:rPr>
        <w:t xml:space="preserve">Rammstein</w:t>
      </w:r>
      <w:r>
        <w:t xml:space="preserve">. </w:t>
      </w:r>
      <w:r>
        <w:t xml:space="preserve">Отправляем  стакан</w:t>
      </w:r>
      <w:r>
        <w:t xml:space="preserve"> так же в заморозку.</w:t>
      </w:r>
      <w:r/>
    </w:p>
    <w:p>
      <w:pPr>
        <w:ind w:left="-851" w:firstLine="709"/>
        <w:rPr>
          <w:b/>
        </w:rPr>
      </w:pPr>
      <w:r>
        <w:rPr>
          <w:b/>
        </w:rPr>
        <w:t xml:space="preserve">3 день</w:t>
      </w:r>
      <w:r>
        <w:rPr>
          <w:b/>
        </w:rPr>
        <w:t xml:space="preserve">.</w:t>
      </w:r>
      <w:r/>
    </w:p>
    <w:p>
      <w:pPr>
        <w:ind w:left="-851" w:firstLine="709"/>
      </w:pPr>
      <w:r>
        <w:t xml:space="preserve">Достаем стакан из заморозки, описываем лёд, вносим данные в таблицу.</w:t>
      </w:r>
      <w:r>
        <w:t xml:space="preserve"> </w:t>
      </w:r>
      <w:r/>
    </w:p>
    <w:p>
      <w:pPr>
        <w:ind w:left="-851" w:firstLine="709"/>
      </w:pPr>
      <w:r/>
      <w:r/>
    </w:p>
    <w:p>
      <w:pPr>
        <w:ind w:left="-851" w:firstLine="709"/>
      </w:pPr>
      <w:r>
        <w:t xml:space="preserve">Данная разработка позволяет увидеть детям своими гла</w:t>
      </w:r>
      <w:r>
        <w:t xml:space="preserve">за</w:t>
      </w:r>
      <w:r>
        <w:t xml:space="preserve">ми, как музыка может влиять на воду. А если учесть тот факт</w:t>
      </w:r>
      <w:r>
        <w:t xml:space="preserve">,</w:t>
      </w:r>
      <w:r>
        <w:t xml:space="preserve"> что человек на 80% состоит из воды</w:t>
      </w:r>
      <w:r>
        <w:t xml:space="preserve">, то и на человека тоже. Следовательно, нужно быть аккуратным при выборе музыкальных развлечений. Ради интереса ребята могут дать «послушать» воде свои любимые композиции и сделать вывод от увиденного после заморозки. Детям не </w:t>
      </w:r>
      <w:r>
        <w:t xml:space="preserve">привычно  проводить</w:t>
      </w:r>
      <w:r>
        <w:t xml:space="preserve"> опыты по предмету музыка, до конца они не верят что стаканы замерзнут по разному, но после проведения данного опыта определенные выводы они для себя делают.</w:t>
      </w:r>
      <w:r/>
    </w:p>
    <w:p>
      <w:pPr>
        <w:ind w:left="-851" w:firstLine="709"/>
      </w:pPr>
      <w:r/>
      <w:r/>
    </w:p>
    <w:p>
      <w:pPr>
        <w:ind w:left="-851" w:firstLine="709"/>
      </w:pPr>
      <w:r/>
      <w:r/>
    </w:p>
    <w:p>
      <w:r/>
      <w:r/>
    </w:p>
    <w:p>
      <w:pPr>
        <w:ind w:left="-851" w:firstLine="709"/>
      </w:pPr>
      <w:r/>
      <w:r/>
    </w:p>
    <w:p>
      <w:pPr>
        <w:ind w:left="-851" w:firstLine="709"/>
      </w:pPr>
      <w:r/>
      <w:r/>
    </w:p>
    <w:p>
      <w:pPr>
        <w:ind w:left="-851" w:firstLine="709"/>
      </w:pPr>
      <w:r/>
      <w:r/>
    </w:p>
    <w:p>
      <w:pPr>
        <w:ind w:left="-851" w:firstLine="709"/>
      </w:pPr>
      <w:r/>
      <w:r/>
    </w:p>
    <w:p>
      <w:pPr>
        <w:ind w:left="-851" w:firstLine="709"/>
      </w:pPr>
      <w:r/>
      <w:r/>
    </w:p>
    <w:p>
      <w:pPr>
        <w:ind w:left="-851" w:firstLine="709"/>
      </w:pPr>
      <w:r/>
      <w:bookmarkStart w:id="0" w:name="_GoBack"/>
      <w:r/>
      <w:bookmarkEnd w:id="0"/>
      <w:r>
        <w:t xml:space="preserve">Приложение 1.</w:t>
      </w:r>
      <w:r/>
    </w:p>
    <w:tbl>
      <w:tblPr>
        <w:tblStyle w:val="602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118"/>
        <w:gridCol w:w="2835"/>
      </w:tblGrid>
      <w:tr>
        <w:trPr/>
        <w:tc>
          <w:tcPr>
            <w:tcW w:w="1271" w:type="dxa"/>
            <w:textDirection w:val="lrTb"/>
            <w:noWrap w:val="false"/>
          </w:tcPr>
          <w:p>
            <w:pPr>
              <w:ind w:left="-851" w:firstLine="709"/>
            </w:pPr>
            <w:r/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-851" w:firstLine="709"/>
              <w:jc w:val="center"/>
            </w:pPr>
            <w:r>
              <w:t xml:space="preserve">Без музыки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851" w:firstLine="709"/>
              <w:jc w:val="center"/>
            </w:pPr>
            <w:r>
              <w:t xml:space="preserve">Классика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left="-851" w:firstLine="709"/>
              <w:jc w:val="center"/>
            </w:pPr>
            <w:r>
              <w:t xml:space="preserve">Рок</w:t>
            </w:r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ind w:left="-851" w:firstLine="709"/>
              <w:jc w:val="center"/>
            </w:pPr>
            <w:r>
              <w:t xml:space="preserve">Описание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ind w:left="-851" w:firstLine="709"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left="-851" w:firstLine="709"/>
            </w:pPr>
            <w:r/>
            <w:r/>
          </w:p>
        </w:tc>
      </w:tr>
      <w:tr>
        <w:trPr/>
        <w:tc>
          <w:tcPr>
            <w:tcW w:w="1271" w:type="dxa"/>
            <w:textDirection w:val="lrTb"/>
            <w:noWrap w:val="false"/>
          </w:tcPr>
          <w:p>
            <w:pPr>
              <w:ind w:left="-851" w:firstLine="709"/>
              <w:jc w:val="center"/>
            </w:pPr>
            <w:r>
              <w:t xml:space="preserve">Вывод</w:t>
            </w:r>
            <w:r/>
          </w:p>
        </w:tc>
        <w:tc>
          <w:tcPr>
            <w:gridSpan w:val="3"/>
            <w:tcW w:w="8363" w:type="dxa"/>
            <w:textDirection w:val="lrTb"/>
            <w:noWrap w:val="false"/>
          </w:tcPr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  <w:p>
            <w:pPr>
              <w:ind w:left="-851" w:firstLine="709"/>
            </w:pPr>
            <w:r/>
            <w:r/>
          </w:p>
        </w:tc>
      </w:tr>
    </w:tbl>
    <w:p>
      <w:pPr>
        <w:ind w:left="-851" w:firstLine="709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mehanik@ngs.ru</cp:lastModifiedBy>
  <cp:revision>3</cp:revision>
  <dcterms:created xsi:type="dcterms:W3CDTF">2023-02-02T12:23:00Z</dcterms:created>
  <dcterms:modified xsi:type="dcterms:W3CDTF">2023-02-26T14:01:40Z</dcterms:modified>
</cp:coreProperties>
</file>