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3" w:rsidRPr="004B5563" w:rsidRDefault="004B5563" w:rsidP="004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4B55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Муниципальное автономное учреждение дополнительного образования </w:t>
      </w:r>
    </w:p>
    <w:p w:rsidR="004B5563" w:rsidRPr="004B5563" w:rsidRDefault="004B5563" w:rsidP="004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55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"Дом детского технического творчества" </w:t>
      </w: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5563" w:rsidRPr="004B5563" w:rsidRDefault="004B5563" w:rsidP="004B556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55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Открытое</w:t>
      </w:r>
      <w:bookmarkStart w:id="0" w:name="_GoBack"/>
      <w:bookmarkEnd w:id="0"/>
      <w:r w:rsidRPr="004B55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занятие </w:t>
      </w: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55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теме</w:t>
      </w:r>
      <w:r w:rsidRPr="004B556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B5563" w:rsidRDefault="004B5563" w:rsidP="004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5563">
        <w:rPr>
          <w:rFonts w:ascii="Calibri" w:eastAsia="Times New Roman" w:hAnsi="Calibri" w:cs="Times New Roman"/>
          <w:b/>
          <w:sz w:val="32"/>
          <w:szCs w:val="32"/>
          <w:lang w:eastAsia="ru-RU"/>
        </w:rPr>
        <w:t>«</w:t>
      </w:r>
      <w:r w:rsidRPr="004B5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Три дамки против одной дамки или треугольник </w:t>
      </w:r>
    </w:p>
    <w:p w:rsidR="004B5563" w:rsidRPr="004B5563" w:rsidRDefault="004B5563" w:rsidP="004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5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 Д. Петрова»</w:t>
      </w: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363">
        <w:rPr>
          <w:rFonts w:ascii="latoregular" w:eastAsia="Times New Roman" w:hAnsi="latoregular" w:cs="Times New Roman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B74AC2B" wp14:editId="55FDB95F">
            <wp:simplePos x="0" y="0"/>
            <wp:positionH relativeFrom="column">
              <wp:posOffset>1882140</wp:posOffset>
            </wp:positionH>
            <wp:positionV relativeFrom="paragraph">
              <wp:posOffset>48260</wp:posOffset>
            </wp:positionV>
            <wp:extent cx="2009775" cy="2023110"/>
            <wp:effectExtent l="0" t="0" r="9525" b="0"/>
            <wp:wrapTight wrapText="bothSides">
              <wp:wrapPolygon edited="0">
                <wp:start x="0" y="0"/>
                <wp:lineTo x="0" y="21356"/>
                <wp:lineTo x="21498" y="21356"/>
                <wp:lineTo x="21498" y="0"/>
                <wp:lineTo x="0" y="0"/>
              </wp:wrapPolygon>
            </wp:wrapTight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4B5563" w:rsidP="004B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63" w:rsidRDefault="00DE42F4" w:rsidP="00DE42F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4B5563" w:rsidRPr="004B5563" w:rsidRDefault="00DE42F4" w:rsidP="00DE42F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5563" w:rsidRPr="004B5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дополнительного образования</w:t>
      </w:r>
    </w:p>
    <w:p w:rsidR="004B5563" w:rsidRPr="004B5563" w:rsidRDefault="004B5563" w:rsidP="00DE42F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Подгайная</w:t>
      </w:r>
      <w:proofErr w:type="spellEnd"/>
      <w:r w:rsidRPr="004B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563" w:rsidRP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563" w:rsidRDefault="004B5563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DC" w:rsidRPr="004B5563" w:rsidRDefault="00C171DC" w:rsidP="004B55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1DC" w:rsidRDefault="00C171DC" w:rsidP="00C171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363" w:rsidRPr="00C171DC" w:rsidRDefault="00F54363" w:rsidP="00C171DC">
      <w:pPr>
        <w:spacing w:after="0" w:line="360" w:lineRule="auto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="004B5563"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1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дамки против одной дамк</w:t>
      </w:r>
      <w:r w:rsidR="00247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или треугольник А. Д. Петрова</w:t>
      </w:r>
    </w:p>
    <w:p w:rsidR="00F54363" w:rsidRDefault="00F54363" w:rsidP="00C171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47DD7" w:rsidRPr="00247DD7" w:rsidRDefault="00247DD7" w:rsidP="00247D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«треугольник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трова» (три дамки против одной);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нахождение позиции и применение ее для выигрыша;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​ закрепить умения выигрыша при позиционном преимуществе.</w:t>
      </w:r>
    </w:p>
    <w:p w:rsidR="00F54363" w:rsidRPr="00C171DC" w:rsidRDefault="00F54363" w:rsidP="00C171DC">
      <w:pPr>
        <w:spacing w:after="0" w:line="360" w:lineRule="auto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5563" w:rsidRPr="00C171DC" w:rsidRDefault="004B5563" w:rsidP="00C171DC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Образующие</w:t>
      </w:r>
      <w:r w:rsidR="00F54363" w:rsidRPr="00C1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4363" w:rsidRPr="00C171DC" w:rsidRDefault="00F54363" w:rsidP="00C171DC">
      <w:pPr>
        <w:spacing w:after="0" w:line="360" w:lineRule="auto"/>
        <w:ind w:hanging="11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7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треугольником А. Д. Петрова в окончании «Три дамки против одной дамки».</w:t>
      </w:r>
    </w:p>
    <w:p w:rsidR="00E25312" w:rsidRPr="00C171DC" w:rsidRDefault="004B5563" w:rsidP="00C171DC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="00F54363" w:rsidRPr="00C17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54363" w:rsidRPr="00C171DC" w:rsidRDefault="00247DD7" w:rsidP="00C171DC">
      <w:pPr>
        <w:spacing w:after="0" w:line="360" w:lineRule="auto"/>
        <w:ind w:hanging="11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4363"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умственные способности детей и формировать устойчивый интерес к новым источникам информации.</w:t>
      </w:r>
    </w:p>
    <w:p w:rsidR="00E25312" w:rsidRPr="00C171DC" w:rsidRDefault="004B5563" w:rsidP="00C171DC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Воспитывающие</w:t>
      </w:r>
      <w:r w:rsidR="00F54363" w:rsidRPr="00C171D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: </w:t>
      </w:r>
    </w:p>
    <w:p w:rsidR="00F54363" w:rsidRPr="00C171DC" w:rsidRDefault="00247DD7" w:rsidP="00C171DC">
      <w:pPr>
        <w:spacing w:after="0" w:line="360" w:lineRule="auto"/>
        <w:ind w:hanging="11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4363"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«коллективный дух», сочетая элементы спортивной состязательности.</w:t>
      </w:r>
    </w:p>
    <w:p w:rsidR="00E25312" w:rsidRPr="00C171DC" w:rsidRDefault="00E25312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312" w:rsidRPr="00E25312" w:rsidRDefault="00E25312" w:rsidP="00C171DC">
      <w:pPr>
        <w:tabs>
          <w:tab w:val="left" w:pos="2375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25312">
        <w:rPr>
          <w:rFonts w:ascii="Times New Roman" w:eastAsia="Calibri" w:hAnsi="Times New Roman" w:cs="Times New Roman"/>
          <w:b/>
          <w:sz w:val="28"/>
          <w:szCs w:val="28"/>
        </w:rPr>
        <w:t>Формирование универсальных учебных действий</w:t>
      </w:r>
      <w:r w:rsidRPr="00E253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25312">
        <w:rPr>
          <w:rFonts w:ascii="Times New Roman" w:eastAsia="Calibri" w:hAnsi="Times New Roman" w:cs="Times New Roman"/>
          <w:b/>
          <w:sz w:val="28"/>
          <w:szCs w:val="28"/>
        </w:rPr>
        <w:t>УУД):</w:t>
      </w:r>
    </w:p>
    <w:p w:rsidR="00E25312" w:rsidRPr="00C171DC" w:rsidRDefault="00E25312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312" w:rsidRPr="00C171DC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54F">
        <w:rPr>
          <w:rFonts w:ascii="Times New Roman" w:eastAsia="Calibri" w:hAnsi="Times New Roman" w:cs="Times New Roman"/>
          <w:b/>
          <w:sz w:val="28"/>
          <w:szCs w:val="28"/>
        </w:rPr>
        <w:t>Личностны</w:t>
      </w:r>
      <w:r w:rsidR="00E25312" w:rsidRPr="00C171D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54F" w:rsidRP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формирование следующих умений:</w:t>
      </w:r>
    </w:p>
    <w:p w:rsidR="005D354F" w:rsidRPr="005D354F" w:rsidRDefault="005D354F" w:rsidP="00C17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</w:t>
      </w: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 в различных коммуникативных ситуациях;</w:t>
      </w:r>
    </w:p>
    <w:p w:rsidR="005D354F" w:rsidRPr="005D354F" w:rsidRDefault="005D354F" w:rsidP="00C17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 в игре в соответствии со сложившейся ситуацией;</w:t>
      </w:r>
    </w:p>
    <w:p w:rsidR="005D354F" w:rsidRPr="005D354F" w:rsidRDefault="005D354F" w:rsidP="00C17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</w:t>
      </w: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тактичность речевого поведения в семье;</w:t>
      </w:r>
    </w:p>
    <w:p w:rsidR="005D354F" w:rsidRPr="005D354F" w:rsidRDefault="005D354F" w:rsidP="00C17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игры, опираясь на приобретенные знания.</w:t>
      </w:r>
    </w:p>
    <w:p w:rsidR="00E25312" w:rsidRPr="00C171DC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54F">
        <w:rPr>
          <w:rFonts w:ascii="Times New Roman" w:eastAsia="Calibri" w:hAnsi="Times New Roman" w:cs="Times New Roman"/>
          <w:b/>
          <w:sz w:val="28"/>
          <w:szCs w:val="28"/>
        </w:rPr>
        <w:t>Метапредметны</w:t>
      </w:r>
      <w:r w:rsidR="00E25312" w:rsidRPr="00C171DC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54F" w:rsidRP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формирование следующих  действий:</w:t>
      </w:r>
    </w:p>
    <w:p w:rsidR="005D354F" w:rsidRP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–</w:t>
      </w:r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54F">
        <w:rPr>
          <w:rFonts w:ascii="Times New Roman" w:eastAsia="Calibri" w:hAnsi="Times New Roman" w:cs="Times New Roman"/>
          <w:i/>
          <w:sz w:val="28"/>
          <w:szCs w:val="28"/>
        </w:rPr>
        <w:t>формулировать</w:t>
      </w: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задачу игры, </w:t>
      </w:r>
      <w:r w:rsidRPr="005D354F">
        <w:rPr>
          <w:rFonts w:ascii="Times New Roman" w:eastAsia="Calibri" w:hAnsi="Times New Roman" w:cs="Times New Roman"/>
          <w:i/>
          <w:sz w:val="28"/>
          <w:szCs w:val="28"/>
        </w:rPr>
        <w:t>выбирать</w:t>
      </w: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вид тактики в игре;</w:t>
      </w:r>
    </w:p>
    <w:p w:rsidR="005D354F" w:rsidRP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–</w:t>
      </w:r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54F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 основные правила и ограничения игры</w:t>
      </w:r>
      <w:proofErr w:type="gramStart"/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D354F" w:rsidRP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–</w:t>
      </w:r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54F">
        <w:rPr>
          <w:rFonts w:ascii="Times New Roman" w:eastAsia="Calibri" w:hAnsi="Times New Roman" w:cs="Times New Roman"/>
          <w:i/>
          <w:sz w:val="28"/>
          <w:szCs w:val="28"/>
        </w:rPr>
        <w:t>пользоваться</w:t>
      </w: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приемами игры;</w:t>
      </w:r>
    </w:p>
    <w:p w:rsidR="005D354F" w:rsidRPr="005D354F" w:rsidRDefault="005D354F" w:rsidP="00C17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D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</w:t>
      </w:r>
      <w:r w:rsidRPr="005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и обобщения в результате игры.</w:t>
      </w:r>
    </w:p>
    <w:p w:rsidR="00E25312" w:rsidRPr="00C171DC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Предметны</w:t>
      </w:r>
      <w:r w:rsidR="00E25312" w:rsidRPr="00C171D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D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54F" w:rsidRDefault="005D354F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>формирование следующих умений:</w:t>
      </w:r>
    </w:p>
    <w:p w:rsidR="00DE42F4" w:rsidRPr="005D354F" w:rsidRDefault="00DE42F4" w:rsidP="00C171DC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знать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«треугольник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трова»</w:t>
      </w:r>
    </w:p>
    <w:p w:rsidR="005D354F" w:rsidRPr="005D354F" w:rsidRDefault="005D354F" w:rsidP="00C171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      - знать термины и основные партии, встречающиеся в литературе по шашкам;</w:t>
      </w:r>
    </w:p>
    <w:p w:rsidR="005D354F" w:rsidRPr="005D354F" w:rsidRDefault="005D354F" w:rsidP="00C171DC">
      <w:pPr>
        <w:tabs>
          <w:tab w:val="center" w:pos="51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54F">
        <w:rPr>
          <w:rFonts w:ascii="Times New Roman" w:eastAsia="Calibri" w:hAnsi="Times New Roman" w:cs="Times New Roman"/>
          <w:sz w:val="28"/>
          <w:szCs w:val="28"/>
        </w:rPr>
        <w:t xml:space="preserve">       - уметь достигать выгодные оппозиции;</w:t>
      </w:r>
    </w:p>
    <w:p w:rsidR="00E25312" w:rsidRPr="00E25312" w:rsidRDefault="00E25312" w:rsidP="00C17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E2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</w:t>
      </w:r>
      <w:r w:rsidR="00265221" w:rsidRPr="00C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E2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E2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</w:t>
      </w:r>
    </w:p>
    <w:p w:rsidR="00E25312" w:rsidRPr="00E25312" w:rsidRDefault="00E25312" w:rsidP="00C17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E253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групповая, индивидуальная</w:t>
      </w:r>
    </w:p>
    <w:p w:rsidR="00F54363" w:rsidRPr="00C171DC" w:rsidRDefault="00265221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54363"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доска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Настольные доски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Настольные шашки</w:t>
      </w:r>
    </w:p>
    <w:p w:rsidR="00F54363" w:rsidRPr="00C171DC" w:rsidRDefault="00F54363" w:rsidP="00C171DC">
      <w:pPr>
        <w:spacing w:after="0" w:line="360" w:lineRule="auto"/>
        <w:jc w:val="both"/>
        <w:rPr>
          <w:rFonts w:ascii="latolight" w:eastAsia="Times New Roman" w:hAnsi="latolight" w:cs="Times New Roman"/>
          <w:color w:val="111111"/>
          <w:sz w:val="28"/>
          <w:szCs w:val="28"/>
          <w:lang w:eastAsia="ru-RU"/>
        </w:rPr>
      </w:pPr>
      <w:r w:rsidRPr="00C1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732"/>
        <w:gridCol w:w="2566"/>
      </w:tblGrid>
      <w:tr w:rsidR="00F54363" w:rsidRPr="00C171DC" w:rsidTr="00F54363"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825" w:line="240" w:lineRule="atLeast"/>
              <w:jc w:val="center"/>
              <w:rPr>
                <w:rFonts w:ascii="latoregular" w:eastAsia="Times New Roman" w:hAnsi="latoregular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занятия, время</w:t>
            </w:r>
          </w:p>
        </w:tc>
        <w:tc>
          <w:tcPr>
            <w:tcW w:w="4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825" w:line="240" w:lineRule="atLeast"/>
              <w:jc w:val="center"/>
              <w:rPr>
                <w:rFonts w:ascii="latoregular" w:eastAsia="Times New Roman" w:hAnsi="latoregular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C171DC" w:rsidP="00F54363">
            <w:pPr>
              <w:spacing w:after="825" w:line="240" w:lineRule="atLeast"/>
              <w:jc w:val="center"/>
              <w:rPr>
                <w:rFonts w:ascii="latoregular" w:eastAsia="Times New Roman" w:hAnsi="latoregular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54363"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римечание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82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рассаживаются на места.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«Здравствуйте, ребята!»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темы, целей занятия (1мин.)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с вами изучим окончание партии «три дамки против одной дамки». Способ ловли одинокой дамки тремя, владеющими большой дорогой, был разработан А. Д. Петровым и опубликован в 1827 году в его шашечном учебнике. Система эта впоследствии получила название «треугольника Петрова».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 (8 мин.)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встречается окончание, в котором три дамки ведут борьбу против одной у противника. Правила игры предоставляют для достижения выигрыша лишь 15 ходов. Если за 15 ходов одинокая дамка не будет побита, партия признается ничьей.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того как черная дамка покинет большую дорогу, получается окончание три дамки, владеющие большой дорогой, против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одной дамки у соперника.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принцип «треугольника» в том, чтобы постепенно все больше ограничивать одинокую дамку в ходах, вытеснив ее последовательно с двойников и тройников. Придерживаясь этого принципа, при правильной игре можно поймать дамку за 11— 13 ходов в любой позиции.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4DB335A" wp14:editId="784DE9AB">
                  <wp:extent cx="1952625" cy="1962150"/>
                  <wp:effectExtent l="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1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00A4D7D" wp14:editId="064BA4BB">
                  <wp:extent cx="1943100" cy="1952625"/>
                  <wp:effectExtent l="0" t="0" r="0" b="9525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2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FB5820" wp14:editId="2B709453">
                  <wp:extent cx="1933575" cy="1943100"/>
                  <wp:effectExtent l="0" t="0" r="9525" b="0"/>
                  <wp:docPr id="3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3</w:t>
            </w:r>
          </w:p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рисунках видно, в каждом из них есть тройка выставленная таким образом, что образуют треугольники, направленные на одинокую шашку противника. Теперь у оппонента остается два хода. На указанном примере (рис 2) видно, что черная шашка может ходить без боя с клетки E1 на клетку H4 или на A5. В противном случае она будет побита одной из белых. Куда именно она походит - на H4 или A5 разницы нет: в случае хода E1 - A5, белые ответят F6-D8. Расположение на доске будет следующим: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8F6FFAF" wp14:editId="56BB93A5">
                  <wp:extent cx="1838325" cy="1847850"/>
                  <wp:effectExtent l="0" t="0" r="9525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4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1C0E2F" wp14:editId="50591AD5">
                  <wp:extent cx="1866900" cy="1866900"/>
                  <wp:effectExtent l="0" t="0" r="0" b="0"/>
                  <wp:docPr id="5" name="Рисунок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5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5673DAA" wp14:editId="64B565E4">
                  <wp:extent cx="1857375" cy="1866900"/>
                  <wp:effectExtent l="0" t="0" r="9525" b="0"/>
                  <wp:docPr id="6" name="Рисунок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6</w:t>
            </w:r>
          </w:p>
          <w:p w:rsid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ход черных. Как видим, в таком положении есть два хода без боя - это перейти с А5 на С3 или на Е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походить по-другому, то будет сразу бой. Допустим, черные походят на С3 и займут большую дорогу, тогда белые ответят ходом D6 на В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Жертвуя при этом своей шашкой, они заставляют черных идти на бой, после чего занять место А5. После этих событий расположение на доске станет следующим</w:t>
            </w:r>
          </w:p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см. рис 5).</w:t>
            </w:r>
          </w:p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жертвуют еще одной, ходом Е3-В6 черные вынуждены бить и подставлять свою шашку под бой. Таким образом, белые с помощью треугольника Петрова одерживают победу! Теперь вернемся немного назад, на рис. 4 и рассмотрим ситуацию что было бы если бы черные походили с А5 на Е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Тогда бы следовал ответ белых с D6-G3. Черные вынуждены бить и после боя занимают клетку Н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на рис 6.</w:t>
            </w:r>
          </w:p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снова безвыходная ситуация, в результате которой белые побеждают. Как видим,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треугольник Петрова дает возможность очень просто победить соперника менее чем за 15 ходов.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Обращаемся к демонстрационной доске.</w:t>
            </w:r>
          </w:p>
          <w:p w:rsidR="00F54363" w:rsidRPr="00C171DC" w:rsidRDefault="00F54363" w:rsidP="00F54363">
            <w:pPr>
              <w:spacing w:before="100" w:beforeAutospacing="1" w:after="375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12D271" wp14:editId="53200122">
                  <wp:extent cx="1381125" cy="1390650"/>
                  <wp:effectExtent l="0" t="0" r="9525" b="0"/>
                  <wp:docPr id="7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Треугольником его называют из-за геометрического расположение шашек.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рисунке продемонстрирована ключевая позиция Петрова.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(16мин.)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Сейчас я предлагаю вам выполнить следующее задание. Рассаживаемся парами друг напротив друга. Задача каждому поставить «Треугольник Петрова» друг другу. 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условие – владение сильнейшей стороной «Большой дороги» (диагональ a1 – h8). Сильнейшая сторона своим 15-ым ходом должна взять дамку противника. В противном случае – ничья.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Расставим исходную позицию: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Белые: дамки a1, C1, e1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Черные: дамка g1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такой позиции дамка соперника автоматически ловится за два хода во всех четырех возможных вариантах.</w:t>
            </w:r>
          </w:p>
          <w:p w:rsidR="00F54363" w:rsidRPr="00C171DC" w:rsidRDefault="00F54363" w:rsidP="00F54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1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Сильнейшая сторона занимает двойник (диагонали a7 – g1 и h2 – b8)</w:t>
            </w:r>
          </w:p>
          <w:p w:rsidR="00F54363" w:rsidRPr="00C171DC" w:rsidRDefault="00F54363" w:rsidP="00F5436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cf4 gc5 /1…gh2 2.ec3 h: b2 3.a: c3 X/</w:t>
            </w:r>
          </w:p>
          <w:p w:rsidR="00F54363" w:rsidRPr="00C171DC" w:rsidRDefault="00F54363" w:rsidP="00F5436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eg3 cg1 /2…ca7 3.fb8 ae3 4.ba7 и дамка вытесняется с двойника/</w:t>
            </w:r>
          </w:p>
          <w:p w:rsidR="00F54363" w:rsidRPr="00C171DC" w:rsidRDefault="00F54363" w:rsidP="00F5436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gh2 gc5</w:t>
            </w:r>
          </w:p>
          <w:p w:rsidR="00F54363" w:rsidRPr="00C171DC" w:rsidRDefault="00F54363" w:rsidP="00F5436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4.hg1 cf8</w:t>
            </w:r>
          </w:p>
          <w:p w:rsidR="00F54363" w:rsidRPr="00C171DC" w:rsidRDefault="00F54363" w:rsidP="00F5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2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вытесняют с тройника (диагонали a3 – c1, c1 – h6, h6 – f8, f8 – a3)</w:t>
            </w:r>
          </w:p>
          <w:p w:rsidR="00F54363" w:rsidRPr="00C171DC" w:rsidRDefault="00F54363" w:rsidP="00F5436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54363" w:rsidRPr="00C171DC" w:rsidRDefault="00F54363" w:rsidP="00F5436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54363" w:rsidRPr="00C171DC" w:rsidRDefault="00F54363" w:rsidP="00F5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3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треугольника и поимка дамки.</w:t>
            </w:r>
          </w:p>
          <w:p w:rsidR="00F54363" w:rsidRPr="00C171DC" w:rsidRDefault="00F54363" w:rsidP="00F5436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54363" w:rsidRPr="00C171DC" w:rsidRDefault="00F54363" w:rsidP="00F5436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54363" w:rsidRPr="00C171DC" w:rsidRDefault="00F54363" w:rsidP="00F5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последнее замечание. В практической игре в конце игры могут возникать позиции, отличные 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рассмотренной выше. В таких случаях при проведении простых шашек в дамки нужно стремиться 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попутно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занимать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одну из диагоналей двойника (чтобы успеть уложиться в 15 ходов) и, конечно, владеть «большой дорогой».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доске ставим позицию 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материала (10мин)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я предлагаю вам выполнить следующее задание.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Рассаживаемся парами друг напротив друга. Задача каждому в паре продвигать вариант, когда дамка соперника стоит на поле g1 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54363" w:rsidRPr="00C171DC" w:rsidTr="00F54363"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Подведем итог нашего занятия.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вы познакомились с «треугольником Петрова» - три дамки против одной дамки у соперника. Рассмотрели варианты, как это сделать практически. Успешно справились с заданиями, приготовленными для вас.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Спасибо большое за занятие. </w:t>
            </w:r>
            <w:proofErr w:type="gramStart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Встретимся </w:t>
            </w:r>
            <w:r w:rsidR="000A4784"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следующих занятиях </w:t>
            </w: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продолжим</w:t>
            </w:r>
            <w:proofErr w:type="gramEnd"/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изучать эту интересную игру – шашки.</w:t>
            </w:r>
          </w:p>
          <w:p w:rsidR="00F54363" w:rsidRPr="00C171DC" w:rsidRDefault="00F54363" w:rsidP="00F54363">
            <w:pPr>
              <w:spacing w:before="100" w:beforeAutospacing="1" w:after="37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свидания!</w:t>
            </w:r>
          </w:p>
        </w:tc>
        <w:tc>
          <w:tcPr>
            <w:tcW w:w="0" w:type="auto"/>
            <w:vAlign w:val="center"/>
            <w:hideMark/>
          </w:tcPr>
          <w:p w:rsidR="00F54363" w:rsidRPr="00C171DC" w:rsidRDefault="00F54363" w:rsidP="00F5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5A3" w:rsidRPr="00C171DC" w:rsidRDefault="006D45A3">
      <w:pPr>
        <w:rPr>
          <w:rFonts w:ascii="Times New Roman" w:hAnsi="Times New Roman" w:cs="Times New Roman"/>
          <w:sz w:val="24"/>
          <w:szCs w:val="24"/>
        </w:rPr>
      </w:pPr>
    </w:p>
    <w:sectPr w:rsidR="006D45A3" w:rsidRPr="00C171DC" w:rsidSect="004B5563">
      <w:footerReference w:type="default" r:id="rId15"/>
      <w:footerReference w:type="first" r:id="rId16"/>
      <w:pgSz w:w="11906" w:h="16838"/>
      <w:pgMar w:top="1134" w:right="851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C4" w:rsidRDefault="00F736C4" w:rsidP="004B5563">
      <w:pPr>
        <w:spacing w:after="0" w:line="240" w:lineRule="auto"/>
      </w:pPr>
      <w:r>
        <w:separator/>
      </w:r>
    </w:p>
  </w:endnote>
  <w:endnote w:type="continuationSeparator" w:id="0">
    <w:p w:rsidR="00F736C4" w:rsidRDefault="00F736C4" w:rsidP="004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lato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02558"/>
      <w:docPartObj>
        <w:docPartGallery w:val="Page Numbers (Bottom of Page)"/>
        <w:docPartUnique/>
      </w:docPartObj>
    </w:sdtPr>
    <w:sdtContent>
      <w:p w:rsidR="007E0F06" w:rsidRDefault="007E0F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E0F06" w:rsidRDefault="007E0F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63" w:rsidRDefault="004B5563" w:rsidP="004B5563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Владикавказ</w:t>
    </w:r>
  </w:p>
  <w:p w:rsidR="004B5563" w:rsidRPr="004B5563" w:rsidRDefault="004B5563" w:rsidP="004B5563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201</w:t>
    </w:r>
    <w:r w:rsidR="007E0F06">
      <w:rPr>
        <w:rFonts w:ascii="Times New Roman" w:hAnsi="Times New Roman" w:cs="Times New Roman"/>
        <w:sz w:val="24"/>
        <w:szCs w:val="24"/>
      </w:rPr>
      <w:t>7</w:t>
    </w:r>
  </w:p>
  <w:p w:rsidR="004B5563" w:rsidRDefault="004B5563" w:rsidP="004B5563">
    <w:pPr>
      <w:pStyle w:val="a7"/>
      <w:jc w:val="center"/>
    </w:pPr>
  </w:p>
  <w:p w:rsidR="004B5563" w:rsidRDefault="004B5563">
    <w:pPr>
      <w:pStyle w:val="a7"/>
    </w:pPr>
  </w:p>
  <w:p w:rsidR="004B5563" w:rsidRDefault="004B5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C4" w:rsidRDefault="00F736C4" w:rsidP="004B5563">
      <w:pPr>
        <w:spacing w:after="0" w:line="240" w:lineRule="auto"/>
      </w:pPr>
      <w:r>
        <w:separator/>
      </w:r>
    </w:p>
  </w:footnote>
  <w:footnote w:type="continuationSeparator" w:id="0">
    <w:p w:rsidR="00F736C4" w:rsidRDefault="00F736C4" w:rsidP="004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26"/>
    <w:multiLevelType w:val="multilevel"/>
    <w:tmpl w:val="A748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54F8"/>
    <w:multiLevelType w:val="multilevel"/>
    <w:tmpl w:val="DB9C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0017"/>
    <w:multiLevelType w:val="multilevel"/>
    <w:tmpl w:val="242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3"/>
    <w:rsid w:val="000A4784"/>
    <w:rsid w:val="00247DD7"/>
    <w:rsid w:val="00265221"/>
    <w:rsid w:val="00416CF2"/>
    <w:rsid w:val="004B5563"/>
    <w:rsid w:val="005D354F"/>
    <w:rsid w:val="006D45A3"/>
    <w:rsid w:val="007E0F06"/>
    <w:rsid w:val="00922F19"/>
    <w:rsid w:val="00A94195"/>
    <w:rsid w:val="00C171DC"/>
    <w:rsid w:val="00D625E6"/>
    <w:rsid w:val="00DE42F4"/>
    <w:rsid w:val="00E25312"/>
    <w:rsid w:val="00F54363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563"/>
  </w:style>
  <w:style w:type="paragraph" w:styleId="a7">
    <w:name w:val="footer"/>
    <w:basedOn w:val="a"/>
    <w:link w:val="a8"/>
    <w:uiPriority w:val="99"/>
    <w:unhideWhenUsed/>
    <w:rsid w:val="004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563"/>
  </w:style>
  <w:style w:type="paragraph" w:styleId="a7">
    <w:name w:val="footer"/>
    <w:basedOn w:val="a"/>
    <w:link w:val="a8"/>
    <w:uiPriority w:val="99"/>
    <w:unhideWhenUsed/>
    <w:rsid w:val="004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7</cp:revision>
  <cp:lastPrinted>2019-01-15T21:31:00Z</cp:lastPrinted>
  <dcterms:created xsi:type="dcterms:W3CDTF">2018-07-09T03:22:00Z</dcterms:created>
  <dcterms:modified xsi:type="dcterms:W3CDTF">2019-01-15T21:33:00Z</dcterms:modified>
</cp:coreProperties>
</file>