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1D" w:rsidRPr="004C051D" w:rsidRDefault="004C051D" w:rsidP="004C051D">
      <w:pPr>
        <w:spacing w:after="0" w:line="240" w:lineRule="auto"/>
        <w:outlineLvl w:val="0"/>
        <w:rPr>
          <w:rFonts w:ascii="Trebuchet MS" w:eastAsia="Times New Roman" w:hAnsi="Trebuchet MS" w:cs="Arial"/>
          <w:b/>
          <w:bCs/>
          <w:color w:val="124B8D"/>
          <w:kern w:val="36"/>
          <w:sz w:val="36"/>
          <w:szCs w:val="36"/>
          <w:lang w:eastAsia="ru-RU"/>
        </w:rPr>
      </w:pPr>
      <w:r w:rsidRPr="004C051D">
        <w:rPr>
          <w:rFonts w:ascii="Trebuchet MS" w:eastAsia="Times New Roman" w:hAnsi="Trebuchet MS" w:cs="Arial"/>
          <w:b/>
          <w:bCs/>
          <w:color w:val="124B8D"/>
          <w:kern w:val="36"/>
          <w:sz w:val="36"/>
          <w:szCs w:val="36"/>
          <w:lang w:eastAsia="ru-RU"/>
        </w:rPr>
        <w:t xml:space="preserve">Реализация </w:t>
      </w:r>
      <w:proofErr w:type="spellStart"/>
      <w:r w:rsidRPr="004C051D">
        <w:rPr>
          <w:rFonts w:ascii="Trebuchet MS" w:eastAsia="Times New Roman" w:hAnsi="Trebuchet MS" w:cs="Arial"/>
          <w:b/>
          <w:bCs/>
          <w:color w:val="124B8D"/>
          <w:kern w:val="36"/>
          <w:sz w:val="36"/>
          <w:szCs w:val="36"/>
          <w:lang w:eastAsia="ru-RU"/>
        </w:rPr>
        <w:t>компетентностного</w:t>
      </w:r>
      <w:proofErr w:type="spellEnd"/>
      <w:r w:rsidRPr="004C051D">
        <w:rPr>
          <w:rFonts w:ascii="Trebuchet MS" w:eastAsia="Times New Roman" w:hAnsi="Trebuchet MS" w:cs="Arial"/>
          <w:b/>
          <w:bCs/>
          <w:color w:val="124B8D"/>
          <w:kern w:val="36"/>
          <w:sz w:val="36"/>
          <w:szCs w:val="36"/>
          <w:lang w:eastAsia="ru-RU"/>
        </w:rPr>
        <w:t xml:space="preserve"> подхода в образовании посредством информационных технологий</w:t>
      </w:r>
    </w:p>
    <w:p w:rsidR="004C051D" w:rsidRPr="004C051D" w:rsidRDefault="004C051D" w:rsidP="004C051D">
      <w:pPr>
        <w:spacing w:after="0" w:line="240" w:lineRule="auto"/>
        <w:ind w:left="4320" w:hanging="43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Сидоренко Людмила Михайловна</w:t>
      </w:r>
    </w:p>
    <w:p w:rsidR="004C051D" w:rsidRPr="004C051D" w:rsidRDefault="004C051D" w:rsidP="004C051D">
      <w:pPr>
        <w:spacing w:after="0" w:line="240" w:lineRule="auto"/>
        <w:ind w:left="4320" w:hanging="43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методист, к.э.</w:t>
      </w:r>
      <w:proofErr w:type="gramStart"/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</w:t>
      </w:r>
      <w:proofErr w:type="gramEnd"/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4C051D" w:rsidRPr="004C051D" w:rsidRDefault="004C051D" w:rsidP="004C051D">
      <w:pPr>
        <w:spacing w:after="0" w:line="240" w:lineRule="auto"/>
        <w:ind w:left="4320" w:hanging="432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ОСП СПО «</w:t>
      </w:r>
      <w:proofErr w:type="spellStart"/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Трубчевский</w:t>
      </w:r>
      <w:proofErr w:type="spellEnd"/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аграрный колледж» ФГБОУ ВПО </w:t>
      </w:r>
      <w:proofErr w:type="gramStart"/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Брянская</w:t>
      </w:r>
      <w:proofErr w:type="gramEnd"/>
      <w:r w:rsidRPr="004C05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ГСХА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Основным направлением деятельности  колледжа в настоящее время является внедрение </w:t>
      </w:r>
      <w:proofErr w:type="spell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  обучения для повышения эффективности образовательного процесса. Следовательно, цель педагогической работы направлена на формирование компетенций будущих специалистов, которые позволят им быть востребованными профессиональной средой, быть полезными обществу и государству. 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Чтобы в конечном итоге иметь хорошего специалиста необходимо  создать условия для реализации: социально – информационных, когнитивных, специальных, учебно – методических, социальных и  ключевых компетенций. Одним из действенных условий в реализации вышеупомянутых компетенций является внедрение информационных технологий в образовательный процесс. Остановимся на некоторых аспектах реализации компетенций посредством информатизации.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Социально-информационные компетенции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характеризуются владением информационными технологиями и критическим отношением к социальной информации, распространяемой средствами массовой информации.  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колледже существуют  условия для реализации данной компетенции.</w:t>
      </w:r>
      <w:r w:rsidR="0087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 мы имеем 4 оборудованных компьютерных лаборатории, на 56 рабочих мест. Два кабинета оснащены интерактивными досками, а переносная мультимедиа установка, позволяет использовать элементы  компьютерных технологий в любой аудитории. Компьютеры объединены в локальную сеть с выходом в Интернет. Большинство преподавателей и сотрудников колледжа прошли курсы повышения квалификации  по  программе  «Оператор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 – вычислительных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вычислительных машин».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Посредством использования средств информационных технологий на уроках решается  ряд педагогических задач, которые сложно, а иногда и невозможно, решить традиционными методами, а именно: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развитие личности (мышление, эстетическое воспитание, развитие умений экспериментально-исследовательской деятельности, формирование информационной культуры);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 выполнение социального заказа (общая информационная подготовка пользователя, так называемая «Компьютерная грамотность», подготовка специалиста в определённой области на основе информационных технологий);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- интенсификация учебно-воспитательного процесса (повышение эффективности и качества обучения, углубление </w:t>
      </w:r>
      <w:proofErr w:type="spell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за счёт интеграций информационной подготовки и  подготовки по дисциплине).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Исходя из того, что электронные и традиционные учебные материалы гармонично дополняют друг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части единой образовательной среды, основной задачей работы преподавателей является обеспечение студентов информационно-образовательными и развивающими электронными ресурсами. Использование элементов информационных технологий повышает интерес у студентов к изучаемым дисциплинам, а также расширяет их кругозор. Особенно хорошо эти компетенции реализуются в процессе  научно – исследовательской работы студентов, при прохождении учебных практик и стажировок. Студенты в своих работах используют электронные таблицы, интернет - технологии, электронные презентации. Тем самым, закрепляя теоретические знания и практические навыки решения задач на основе элементов информационных технологий.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Сегодня все открытые уроки, внеклассные мероприятия в колледже проходят с  применением ЭВМ. Эта работа дает положительные результаты.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Наши студенты стали победителями районных и областных конкурсов социальных проектов. В областном конкурсе проектов «Информационные технологии за здоровый образ жизни» студенты получили дипломы второй и третьей степени.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 итогам областной  олимпиады по информатике, программированию и информационным технологиям  заняли второе место.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Во Всероссийском конкурсе творческих работ «Моя малая Родина» в номинации «Социальная печатная реклама»  «Верим в село! Гордимся Россией»» - третье место.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2. Когнитивные  компетенции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призваны</w:t>
      </w: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готовность студентов к постоянному повышению образовательного уровня, потребность в актуализации  и реализации своего личного потенциала, способность к саморазвитию</w:t>
      </w:r>
      <w:r w:rsidRPr="004C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C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Исследования в этой области обычно связаны с вопросами памяти, внимания, чувств, представления информации, логического </w:t>
      </w:r>
      <w:r w:rsidRPr="004C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мышления, воображения, способности к принятию решений. Существует понятие</w:t>
      </w:r>
      <w:r w:rsidR="008722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4C051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когнитивный стиль – устойчивые индивидуальные особенности познавательных процессов, предполагающие использование различных исследовательских стратегий. Человек уникален - одного можно убедить, другому нужно только убедиться.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   </w:t>
      </w:r>
      <w:r w:rsidRPr="004C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Реализовать эти компетенции можно посредством исследовательской и творческой деятельности студентов. Это  и</w:t>
      </w:r>
      <w:r w:rsidRPr="004C051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непосредственно учебная деятельность, и участие в научно – практических конференциях, семинарах, конкурсах, участие в проектной деятельности, дискуссиях и других творческих мероприятиях. 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 Однако интеграция информационных и когнитивных технологий сопряжена с рядом трудностей.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Практически все электронное обучение строиться на базе педагогики и психологии в лучшем случае, в худшем - преподавателю предоставляется набор инструментов (сервисов), которые преподаватель в меру своих умений и навыков применяет. Данный подход не обеспечивает ни качества, ни эффективности обучения. Основная проблема тут заключена в том, что педагогика построена на первичном воспитании, 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т.е. подбирается метод обучения и только потом идет обучение. В электронном обучении, "процесс воспитания" или выбор метода обучения практически невозможен, т.к. нет качественного взаимодействия между обучаемым и преподавателем. Следовательно, необходимо применять другие подходы к обучению,</w:t>
      </w:r>
      <w:r w:rsidR="0087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позволяющие до процесса обучения определить индивидуальный метод обучения под каждого обучаемого, структуру информационных материалов.  В этом случае обучаемые классифицируются по схожим и различным признакам работы с информацией, особенностям восприятия и работы с информацией.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В связи с этим уместен переход от электронного обучения на новый способ, в основе которого лежит не педагогика, а соционика. Соционика – наука, изучающая процесс переработки информации из окружающего мира психикой человека.  Соционический инструментарий рассчитан на превращение образования из системы формирования подрастающих поколений во </w:t>
      </w:r>
      <w:proofErr w:type="spell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всевозрастную</w:t>
      </w:r>
      <w:proofErr w:type="spell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пожизненную систему познания и развития себя. Чтобы избежать проблем в понимании, необходимо помнить, что в голове у вашего собеседника установлена совершенно другая система обработки информационных данных и в любое, сказанное вами слово, может быть вложен абсолютно противоположный смысл.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 У</w:t>
      </w: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чебно-методические компетенции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способность самостоятельно осваивать новые знания, умения и способы действий, а также постоянно обогащать свою профессиональную компетентность. Задача педагога - развивать потребность студента к самостоятельному освоению новых знаний, формированию собственной методической и научной базы. Большая роль при реализации данных компетенций отводится дистанционному обучению.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Реализуя эти компетенции, колледж уделяет большое внимание оснащению библиотеки новой учебной и методической литературой, с учетом  профилей подготовки. Фонд библиотеки составляет около 60 тысяч экземпляров, 92% основной учебной и методической литературы имеет гриф Ведомственных Министерств. В библиотеке функционирует Центр правовой информации, база данных содержит свыше 110 тысяч правовых документов. И тем не менее, еще предстоит решить одну из серьезных задач: организация управлением  учебно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 работы студентов.</w:t>
      </w: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этой задачи необходимо ответить на следующие вопросы: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обучаемый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 информацией?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мотивация движет им?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будет действовать при обучении и самообучении?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организацию жизни имеет?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взаимодействует с внешним миром?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стрессоустойчивостью обладает?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преподаватель работает с информацией?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организовать управление и самоуправление процессом познания с учетом индивидуальности каждого обучаемого?   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технологией воспользоваться?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Дистанционное обучение - это обучение на расстоянии, когда педагог и студент  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разделены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пространством. При этом следует различать понятия "образование" как система и как процесс, соответственно, понятия "учебно-воспитательная система" и "учебно-воспитательный процесс".        Ключевое слово воспитание, которое  необходимо для распознавания объекта обучения и выбора метода обучения. Зададимся вопросом, как заниматься воспитанием дистанционно и как выбрать наиболее эффективный метод обучения, не зная объекта управления (обучаемого).  С моей точки зрения, дистанционное обучение не может, в полной мере, обеспечить качество и эффективность профессионального образования при подготовке  специалистов среднего звена, так как воспитательный процесс в колледже играет не менее важную  роль, чем познавательный.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4. Специальные компетенции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показывают </w:t>
      </w: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 студента к самостоятельному выполнению профессиональных действий, оценке результатов своего труда. Это компетенции, обеспечивающие выполнение конкретного действия или профессиональной задачи.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Данная группа компетенций  отражена   в ФГОС СПО, каждой реализуемой в колледже специальности в виде профессиональных компетенций. Условием для реализации является материально – техническая база колледжа, социальные партнеры колледжа, предоставляющие объекты практического обучения. В колледже функционирует программа целевого оснащение образовательного процесса современным учебным и производственным оборудованием.</w:t>
      </w:r>
      <w:r w:rsidR="0087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 ремонт учебных корпусов и студенческого общежития, газовой </w:t>
      </w:r>
      <w:r w:rsidR="00872253"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котельной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столовой, заменены инженерные коммуникации, куплены машины и оборудования для подготовки студентов по дополнительным рабочим профессиям. Все  здания оснащены системой противопожарной  безопасности и видеонаблюдением. В колледже созданы условия для комфортного обучения и проживания студентов.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Но реализация данной  компетенции зависит не только от условий, созданных в учебных заведениях, но от ряда объективных факторов, влияющих на подготовку профессиональных кадров, таких как: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слабая профориентация порождает огромное количество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посредственных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во всех сферах жизни;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мотивации у студентов;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  </w:t>
      </w:r>
      <w:proofErr w:type="spell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устареваемость</w:t>
      </w:r>
      <w:proofErr w:type="spell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невозможность усвоить огромный объем постоянно меняющейся информации;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изменяемая нормативная база и технологии;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возрастающие требованиями к знаниям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технологий;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слабая междисциплинарная увязка;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гибкой реакции на кадровые потребности рынка;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практическая подготовка студентов.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5. Социальные компетенции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призваны</w:t>
      </w: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способность студента ориентироваться в социально-экономических условиях региона, взаимодействовать с людьми разных социальных групп, этнической и 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религиозной принадлежности, вырабатывать толерантность, проявлять сопряженность личных интересов с потребностями организации и общества.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Особую роль в формировании современного  специалиста колледж отводит социальным партнерам. В современных условиях актуализируется вопрос о формировании новой системы отношений между образовательными учреждениями и организациями, союзами работодателей, службой занятости, то есть со всеми, кто является потребителем образовательных услуг и источником финансового благополучия образовательного учреждения. Нашими социальными партнерами являются более 75 организаций Брянской области.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Эффективная организация социального партнерства позволяет учебному заведению: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получить доступ  к информации о рынке труда;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требования работодателей по содержанию образования;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получить новые возможности  для организации проведения производственной практики;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трудоустройство выпускников.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Однако реализовать все возможные направления работы пока не удается. Необходимо разработать механизм интеграции знаний, предоставляемых учебным заведением и практических знаний, приобретаемых в процессе производственной деятельности для формирования единого информационного пространства и индивидуализации подготовки обучающихся. Ключевая роль в интеграции знаний принадлежит информационным технологиям.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6. Ключевые компетенции</w:t>
      </w:r>
      <w:r w:rsidRPr="004C051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C0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компетенции человека, которые необходимы для социально-продуктивной деятельности любого современного специалиста. Это межкультурные и межотраслевые знания, умения и способности, необходимые для адаптации и продуктивной деятельности в различных профессиональных сообществах. Реализация этих компетенций возможна и через </w:t>
      </w:r>
      <w:r w:rsidRPr="004C0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воспитательную работу, которая  направлена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научных представлений о здоровом образе жизни и умение вести его;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сохранять и укреплять психическое и физическое здоровье;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преемственности и продолжение традиций нашего народа.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 колледже функционирует  комплексная программа воспитания и развития личности, </w:t>
      </w:r>
      <w:proofErr w:type="spell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программы,  программы профилактики наркозависимости и алкоголизма подростков, развитие  физической культуры и спорта.</w:t>
      </w:r>
      <w:r w:rsidRPr="004C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студенты активные участники региональных, областных, районных художественных и спортивных мероприятий: конкурса «Студенческая весна», праздников «Дня города» и «Дня здоровья». По итогам областного конкурса «Студенческая весна», в 2010 году студенты колледжа  8 раз становились лауреатами конкурса,  2011 году –  7 дипломантов конкурса. Студенты принимают 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участие в областных мероприятиях «Слет студентов – активистов </w:t>
      </w:r>
      <w:proofErr w:type="spell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«Лагерь актива», участвуют в научно – практических конференциях, семинарах, конкурсах и проектах. В 2010 году наши студенты стали победителями конкурса творческих работ «Победа деда, моя победа!» и конкурса чтецов, посвященного 65-летию Победы в  ВОВ. Все воспитательные мероприятия проходят с использованием компьютерных технологий.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 заключении хочется отметить, что колле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 стр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емится создать необходимые условия  для реализации </w:t>
      </w:r>
      <w:proofErr w:type="spell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 профессиональном  образовании  посредством  применения информационных техноло</w:t>
      </w:r>
      <w:r w:rsidR="007D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гий.</w:t>
      </w:r>
      <w:bookmarkStart w:id="0" w:name="_GoBack"/>
      <w:bookmarkEnd w:id="0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направлениями работы, в связи с этим,  являются: 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современных информационно-коммуникационных и педагогических технологий в учебный процесс;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электронно-образовательных ресурсов для различных форм получения образования;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экспертиза электронных образовательных ресурсов и дистанционных образовательных программ;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от книжного обучения к активному обучению, в связи с высокой скоростью устаревания знаний и необходимостью проектирования знаний (компетенций);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личностно - ориентированных методик обучения в течение всего периода обучения;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выработка у </w:t>
      </w:r>
      <w:proofErr w:type="gramStart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механизма работы с электронным обучением на целенным на самоподготовку и самообучение;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сетевого информационного  взаимодействия образовательных технологий и работодателей;</w:t>
      </w:r>
    </w:p>
    <w:p w:rsidR="004C051D" w:rsidRPr="004C051D" w:rsidRDefault="004C051D" w:rsidP="004C05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05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</w:t>
      </w:r>
      <w:r w:rsidRPr="004C05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4C0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обучающих семинаров для преподавателей по актуальным проблемам электронного образования.</w:t>
      </w:r>
    </w:p>
    <w:p w:rsidR="004C051D" w:rsidRPr="004C051D" w:rsidRDefault="007D0534" w:rsidP="004C05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="004C051D" w:rsidRPr="004C051D">
          <w:rPr>
            <w:rFonts w:ascii="Arial" w:eastAsia="Times New Roman" w:hAnsi="Arial" w:cs="Arial"/>
            <w:color w:val="0423A3"/>
            <w:sz w:val="18"/>
            <w:szCs w:val="18"/>
            <w:u w:val="single"/>
            <w:lang w:eastAsia="ru-RU"/>
          </w:rPr>
          <w:t>наверх</w:t>
        </w:r>
      </w:hyperlink>
    </w:p>
    <w:p w:rsidR="004C051D" w:rsidRPr="004C051D" w:rsidRDefault="004C051D" w:rsidP="004C051D">
      <w:pPr>
        <w:shd w:val="clear" w:color="auto" w:fill="E0E1E2"/>
        <w:spacing w:after="0" w:line="240" w:lineRule="auto"/>
        <w:outlineLvl w:val="2"/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</w:pPr>
      <w:r w:rsidRPr="004C051D"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  <w:t>Ссылки</w:t>
      </w:r>
    </w:p>
    <w:p w:rsidR="004C051D" w:rsidRPr="004C051D" w:rsidRDefault="007D0534" w:rsidP="004C051D">
      <w:pPr>
        <w:numPr>
          <w:ilvl w:val="0"/>
          <w:numId w:val="1"/>
        </w:numPr>
        <w:shd w:val="clear" w:color="auto" w:fill="E0E1E2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="004C051D" w:rsidRPr="004C051D">
          <w:rPr>
            <w:rFonts w:ascii="Arial" w:eastAsia="Times New Roman" w:hAnsi="Arial" w:cs="Arial"/>
            <w:color w:val="124B8D"/>
            <w:sz w:val="21"/>
            <w:szCs w:val="21"/>
            <w:u w:val="single"/>
            <w:lang w:eastAsia="ru-RU"/>
          </w:rPr>
          <w:t>Нормативные документы</w:t>
        </w:r>
      </w:hyperlink>
    </w:p>
    <w:p w:rsidR="004C051D" w:rsidRPr="004C051D" w:rsidRDefault="007D0534" w:rsidP="004C051D">
      <w:pPr>
        <w:numPr>
          <w:ilvl w:val="0"/>
          <w:numId w:val="1"/>
        </w:numPr>
        <w:shd w:val="clear" w:color="auto" w:fill="E0E1E2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="004C051D" w:rsidRPr="004C051D">
          <w:rPr>
            <w:rFonts w:ascii="Arial" w:eastAsia="Times New Roman" w:hAnsi="Arial" w:cs="Arial"/>
            <w:color w:val="124B8D"/>
            <w:sz w:val="21"/>
            <w:szCs w:val="21"/>
            <w:u w:val="single"/>
            <w:lang w:eastAsia="ru-RU"/>
          </w:rPr>
          <w:t>Инновации и технологии</w:t>
        </w:r>
      </w:hyperlink>
    </w:p>
    <w:p w:rsidR="004C051D" w:rsidRPr="004C051D" w:rsidRDefault="004C051D" w:rsidP="004C051D">
      <w:pPr>
        <w:shd w:val="clear" w:color="auto" w:fill="E0E1E2"/>
        <w:spacing w:after="0" w:line="240" w:lineRule="auto"/>
        <w:outlineLvl w:val="2"/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</w:pPr>
      <w:r w:rsidRPr="004C051D"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  <w:t>Ссылки</w:t>
      </w:r>
    </w:p>
    <w:p w:rsidR="004C051D" w:rsidRPr="004C051D" w:rsidRDefault="007D0534" w:rsidP="004C051D">
      <w:pPr>
        <w:numPr>
          <w:ilvl w:val="0"/>
          <w:numId w:val="2"/>
        </w:numPr>
        <w:shd w:val="clear" w:color="auto" w:fill="E0E1E2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="004C051D" w:rsidRPr="004C051D">
          <w:rPr>
            <w:rFonts w:ascii="Arial" w:eastAsia="Times New Roman" w:hAnsi="Arial" w:cs="Arial"/>
            <w:color w:val="124B8D"/>
            <w:sz w:val="21"/>
            <w:szCs w:val="21"/>
            <w:u w:val="single"/>
            <w:lang w:eastAsia="ru-RU"/>
          </w:rPr>
          <w:t>Повышение квалификации</w:t>
        </w:r>
      </w:hyperlink>
    </w:p>
    <w:p w:rsidR="004C051D" w:rsidRPr="004C051D" w:rsidRDefault="007D0534" w:rsidP="004C051D">
      <w:pPr>
        <w:numPr>
          <w:ilvl w:val="0"/>
          <w:numId w:val="2"/>
        </w:numPr>
        <w:shd w:val="clear" w:color="auto" w:fill="E0E1E2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="004C051D" w:rsidRPr="004C051D">
          <w:rPr>
            <w:rFonts w:ascii="Arial" w:eastAsia="Times New Roman" w:hAnsi="Arial" w:cs="Arial"/>
            <w:color w:val="124B8D"/>
            <w:sz w:val="21"/>
            <w:szCs w:val="21"/>
            <w:u w:val="single"/>
            <w:lang w:eastAsia="ru-RU"/>
          </w:rPr>
          <w:t>Консультации</w:t>
        </w:r>
      </w:hyperlink>
    </w:p>
    <w:p w:rsidR="004C051D" w:rsidRPr="004C051D" w:rsidRDefault="004C051D" w:rsidP="004C051D">
      <w:pPr>
        <w:shd w:val="clear" w:color="auto" w:fill="E0E1E2"/>
        <w:spacing w:after="0" w:line="240" w:lineRule="auto"/>
        <w:outlineLvl w:val="2"/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</w:pPr>
      <w:r w:rsidRPr="004C051D"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  <w:t>Ссылки</w:t>
      </w:r>
    </w:p>
    <w:p w:rsidR="004C051D" w:rsidRPr="004C051D" w:rsidRDefault="007D0534" w:rsidP="004C051D">
      <w:pPr>
        <w:numPr>
          <w:ilvl w:val="0"/>
          <w:numId w:val="3"/>
        </w:numPr>
        <w:shd w:val="clear" w:color="auto" w:fill="E0E1E2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="004C051D" w:rsidRPr="004C051D">
          <w:rPr>
            <w:rFonts w:ascii="Arial" w:eastAsia="Times New Roman" w:hAnsi="Arial" w:cs="Arial"/>
            <w:color w:val="124B8D"/>
            <w:sz w:val="21"/>
            <w:szCs w:val="21"/>
            <w:u w:val="single"/>
            <w:lang w:eastAsia="ru-RU"/>
          </w:rPr>
          <w:t>Всероссийские мероприятия</w:t>
        </w:r>
      </w:hyperlink>
    </w:p>
    <w:p w:rsidR="004C051D" w:rsidRPr="004C051D" w:rsidRDefault="007D0534" w:rsidP="004C051D">
      <w:pPr>
        <w:numPr>
          <w:ilvl w:val="0"/>
          <w:numId w:val="3"/>
        </w:numPr>
        <w:shd w:val="clear" w:color="auto" w:fill="E0E1E2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="004C051D" w:rsidRPr="004C051D">
          <w:rPr>
            <w:rFonts w:ascii="Arial" w:eastAsia="Times New Roman" w:hAnsi="Arial" w:cs="Arial"/>
            <w:color w:val="124B8D"/>
            <w:sz w:val="21"/>
            <w:szCs w:val="21"/>
            <w:u w:val="single"/>
            <w:lang w:eastAsia="ru-RU"/>
          </w:rPr>
          <w:t>Наши проекты</w:t>
        </w:r>
      </w:hyperlink>
    </w:p>
    <w:p w:rsidR="004C051D" w:rsidRPr="004C051D" w:rsidRDefault="004C051D" w:rsidP="004C051D">
      <w:pPr>
        <w:shd w:val="clear" w:color="auto" w:fill="E0E1E2"/>
        <w:spacing w:after="0" w:line="240" w:lineRule="auto"/>
        <w:outlineLvl w:val="2"/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</w:pPr>
      <w:r w:rsidRPr="004C051D">
        <w:rPr>
          <w:rFonts w:ascii="Arial" w:eastAsia="Times New Roman" w:hAnsi="Arial" w:cs="Arial"/>
          <w:b/>
          <w:bCs/>
          <w:color w:val="124B8D"/>
          <w:sz w:val="21"/>
          <w:szCs w:val="21"/>
          <w:lang w:eastAsia="ru-RU"/>
        </w:rPr>
        <w:t>Ссылки</w:t>
      </w:r>
    </w:p>
    <w:p w:rsidR="004C051D" w:rsidRPr="004C051D" w:rsidRDefault="007D0534" w:rsidP="004C051D">
      <w:pPr>
        <w:numPr>
          <w:ilvl w:val="0"/>
          <w:numId w:val="4"/>
        </w:numPr>
        <w:shd w:val="clear" w:color="auto" w:fill="E0E1E2"/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="004C051D" w:rsidRPr="004C051D">
          <w:rPr>
            <w:rFonts w:ascii="Arial" w:eastAsia="Times New Roman" w:hAnsi="Arial" w:cs="Arial"/>
            <w:color w:val="124B8D"/>
            <w:sz w:val="21"/>
            <w:szCs w:val="21"/>
            <w:u w:val="single"/>
            <w:lang w:eastAsia="ru-RU"/>
          </w:rPr>
          <w:t>Интернет-магазин</w:t>
        </w:r>
      </w:hyperlink>
    </w:p>
    <w:p w:rsidR="00713FD5" w:rsidRDefault="00713FD5"/>
    <w:sectPr w:rsidR="0071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AE"/>
    <w:multiLevelType w:val="multilevel"/>
    <w:tmpl w:val="AD8E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D7E2B"/>
    <w:multiLevelType w:val="multilevel"/>
    <w:tmpl w:val="36B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B2F29"/>
    <w:multiLevelType w:val="multilevel"/>
    <w:tmpl w:val="07F0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50687"/>
    <w:multiLevelType w:val="multilevel"/>
    <w:tmpl w:val="51EA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BD"/>
    <w:rsid w:val="001F44BD"/>
    <w:rsid w:val="004C051D"/>
    <w:rsid w:val="00713FD5"/>
    <w:rsid w:val="007D0534"/>
    <w:rsid w:val="008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oit.ru/content/in_work/2.php" TargetMode="External"/><Relationship Id="rId13" Type="http://schemas.openxmlformats.org/officeDocument/2006/relationships/hyperlink" Target="http://fcoit.ru/catalo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coit.ru/documents/" TargetMode="External"/><Relationship Id="rId12" Type="http://schemas.openxmlformats.org/officeDocument/2006/relationships/hyperlink" Target="http://fcoit.ru/content/in_work/6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oit.ru/internet_conference/information_systems_support_the_educational_scientific_educational_and_practical_activities_of_educa/Sidorenko.php" TargetMode="External"/><Relationship Id="rId11" Type="http://schemas.openxmlformats.org/officeDocument/2006/relationships/hyperlink" Target="http://fcoit.ru/content/in_work/5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oit.ru/content/consult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oit.ru/content/in_work/3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2012-12-14T04:07:00Z</dcterms:created>
  <dcterms:modified xsi:type="dcterms:W3CDTF">2012-12-15T01:23:00Z</dcterms:modified>
</cp:coreProperties>
</file>